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903" w:rsidRPr="007B163C" w:rsidRDefault="00225903" w:rsidP="00225903">
      <w:pPr>
        <w:ind w:left="-630" w:right="-540"/>
        <w:jc w:val="right"/>
        <w:rPr>
          <w:rFonts w:ascii="Arial" w:hAnsi="Arial" w:cs="Arial"/>
          <w:b/>
        </w:rPr>
      </w:pPr>
      <w:r w:rsidRPr="007B163C">
        <w:rPr>
          <w:rFonts w:ascii="Arial" w:hAnsi="Arial" w:cs="Arial"/>
          <w:b/>
        </w:rPr>
        <w:t>Matriculation Number: 00</w:t>
      </w:r>
      <w:r>
        <w:rPr>
          <w:rFonts w:ascii="Arial" w:hAnsi="Arial" w:cs="Arial"/>
          <w:b/>
        </w:rPr>
        <w:t>503319</w:t>
      </w:r>
      <w:r w:rsidRPr="007B163C">
        <w:rPr>
          <w:rFonts w:ascii="Arial" w:hAnsi="Arial" w:cs="Arial"/>
          <w:b/>
        </w:rPr>
        <w:t xml:space="preserve">, </w:t>
      </w:r>
      <w:r w:rsidRPr="00225903">
        <w:rPr>
          <w:rFonts w:ascii="Arial" w:hAnsi="Arial" w:cs="Arial"/>
          <w:b/>
        </w:rPr>
        <w:t>00616219</w:t>
      </w:r>
    </w:p>
    <w:p w:rsidR="00225903" w:rsidRDefault="00225903" w:rsidP="00225903">
      <w:pPr>
        <w:ind w:left="-630" w:right="-540"/>
        <w:jc w:val="both"/>
        <w:rPr>
          <w:rFonts w:ascii="Arial" w:hAnsi="Arial" w:cs="Arial"/>
          <w:b/>
          <w:sz w:val="28"/>
          <w:szCs w:val="28"/>
        </w:rPr>
      </w:pPr>
      <w:r w:rsidRPr="007B163C">
        <w:rPr>
          <w:rFonts w:ascii="Arial" w:hAnsi="Arial" w:cs="Arial"/>
          <w:b/>
          <w:sz w:val="28"/>
          <w:szCs w:val="28"/>
        </w:rPr>
        <w:t xml:space="preserve">Literature Survey: </w:t>
      </w:r>
      <w:r>
        <w:rPr>
          <w:rFonts w:ascii="Arial" w:hAnsi="Arial" w:cs="Arial"/>
          <w:b/>
          <w:sz w:val="28"/>
          <w:szCs w:val="28"/>
        </w:rPr>
        <w:t>Visual-to-audio aid for visually impaired</w:t>
      </w:r>
    </w:p>
    <w:p w:rsidR="00225903" w:rsidRDefault="00225903">
      <w:pPr>
        <w:rPr>
          <w:b/>
          <w:bCs/>
          <w:sz w:val="24"/>
          <w:szCs w:val="24"/>
        </w:rPr>
      </w:pPr>
    </w:p>
    <w:p w:rsidR="00A04A2D" w:rsidRPr="00A00A30" w:rsidRDefault="00BF543E" w:rsidP="00225903">
      <w:pPr>
        <w:ind w:left="-630" w:right="-540"/>
        <w:jc w:val="both"/>
        <w:rPr>
          <w:b/>
          <w:bCs/>
          <w:sz w:val="24"/>
          <w:szCs w:val="24"/>
        </w:rPr>
      </w:pPr>
      <w:r w:rsidRPr="00A00A30">
        <w:rPr>
          <w:b/>
          <w:bCs/>
          <w:sz w:val="24"/>
          <w:szCs w:val="24"/>
        </w:rPr>
        <w:t>Summary:</w:t>
      </w:r>
    </w:p>
    <w:p w:rsidR="00BF543E" w:rsidRPr="00BF543E" w:rsidRDefault="00BF543E" w:rsidP="00225903">
      <w:pPr>
        <w:ind w:left="-630" w:right="-540"/>
        <w:jc w:val="both"/>
        <w:rPr>
          <w:rFonts w:cstheme="minorHAnsi"/>
        </w:rPr>
      </w:pPr>
      <w:r w:rsidRPr="00BF543E">
        <w:rPr>
          <w:rFonts w:cstheme="minorHAnsi"/>
        </w:rPr>
        <w:t>In our literature survey for this research, we did not come across the exact project idea</w:t>
      </w:r>
      <w:r w:rsidR="00A00A30">
        <w:rPr>
          <w:rFonts w:cstheme="minorHAnsi"/>
        </w:rPr>
        <w:t xml:space="preserve"> as a computational technology perspective</w:t>
      </w:r>
      <w:r w:rsidRPr="00BF543E">
        <w:rPr>
          <w:rFonts w:cstheme="minorHAnsi"/>
        </w:rPr>
        <w:t xml:space="preserve"> but ideas surrounding the topic and specific modules of it. We focused on the major components of our research project which are image captioning and sematic text comparison. Both the modules have been thoroughly researched by various authors which helped us analyze the pros and co</w:t>
      </w:r>
      <w:bookmarkStart w:id="0" w:name="_GoBack"/>
      <w:bookmarkEnd w:id="0"/>
      <w:r w:rsidRPr="00BF543E">
        <w:rPr>
          <w:rFonts w:cstheme="minorHAnsi"/>
        </w:rPr>
        <w:t xml:space="preserve">ns of different methodologies. Some of the writings proposed enhancements that can be used to provide better results as well. </w:t>
      </w:r>
    </w:p>
    <w:p w:rsidR="00DE2B45" w:rsidRDefault="00BF543E" w:rsidP="00225903">
      <w:pPr>
        <w:ind w:left="-630" w:right="-540"/>
        <w:jc w:val="both"/>
      </w:pPr>
      <w:r>
        <w:t>Considering all the papers we found relating to image captioning and semantic text similarity were</w:t>
      </w:r>
      <w:r w:rsidR="00246AA1">
        <w:t xml:space="preserve"> deeply studied for any insights to be gained, and finally we selected 6 of those papers which were most insightful with regards to our idea. We also came across the key methodologies and players in the field for various components and the idea as-a-whole which will be described here.</w:t>
      </w:r>
    </w:p>
    <w:p w:rsidR="00DE2B45" w:rsidRPr="00B709AF" w:rsidRDefault="00DE2B45" w:rsidP="00225903">
      <w:pPr>
        <w:ind w:left="-630" w:right="-540"/>
        <w:jc w:val="both"/>
        <w:rPr>
          <w:rFonts w:cstheme="minorHAnsi"/>
          <w:b/>
        </w:rPr>
      </w:pPr>
      <w:r w:rsidRPr="00A00A30">
        <w:rPr>
          <w:rFonts w:cstheme="minorHAnsi"/>
          <w:b/>
          <w:sz w:val="24"/>
          <w:szCs w:val="24"/>
        </w:rPr>
        <w:t xml:space="preserve">Search Engines: </w:t>
      </w:r>
      <w:r w:rsidRPr="00A00A30">
        <w:rPr>
          <w:rFonts w:cstheme="minorHAnsi"/>
          <w:bCs/>
        </w:rPr>
        <w:t xml:space="preserve">IEEE, DBLP, ELSEVIER, Google Scholar, </w:t>
      </w:r>
      <w:proofErr w:type="spellStart"/>
      <w:r w:rsidRPr="00A00A30">
        <w:rPr>
          <w:rFonts w:cstheme="minorHAnsi"/>
          <w:bCs/>
        </w:rPr>
        <w:t>arXiv</w:t>
      </w:r>
      <w:proofErr w:type="spellEnd"/>
      <w:r w:rsidRPr="00A00A30">
        <w:rPr>
          <w:rFonts w:cstheme="minorHAnsi"/>
          <w:bCs/>
        </w:rPr>
        <w:t>.</w:t>
      </w:r>
    </w:p>
    <w:p w:rsidR="00A00A30" w:rsidRPr="00A00A30" w:rsidRDefault="00A00A30" w:rsidP="00225903">
      <w:pPr>
        <w:ind w:left="-630" w:right="-540"/>
        <w:jc w:val="both"/>
        <w:rPr>
          <w:b/>
          <w:bCs/>
          <w:sz w:val="24"/>
          <w:szCs w:val="24"/>
        </w:rPr>
      </w:pPr>
      <w:r w:rsidRPr="00A00A30">
        <w:rPr>
          <w:b/>
          <w:bCs/>
          <w:sz w:val="24"/>
          <w:szCs w:val="24"/>
        </w:rPr>
        <w:t>Field Scope:</w:t>
      </w:r>
    </w:p>
    <w:p w:rsidR="00A00A30" w:rsidRDefault="00344AD2" w:rsidP="00225903">
      <w:pPr>
        <w:ind w:left="-630" w:right="-540"/>
        <w:jc w:val="both"/>
        <w:rPr>
          <w:i/>
          <w:iCs/>
        </w:rPr>
      </w:pPr>
      <w:r w:rsidRPr="00344AD2">
        <w:t xml:space="preserve">The field of </w:t>
      </w:r>
      <w:r>
        <w:t xml:space="preserve">providing aid to visually impaired with the means of other human senses was first presented through the idea called </w:t>
      </w:r>
      <w:r w:rsidRPr="00867B7A">
        <w:rPr>
          <w:i/>
          <w:iCs/>
        </w:rPr>
        <w:t>Sensory Substitution</w:t>
      </w:r>
      <w:r>
        <w:t xml:space="preserve"> coined by </w:t>
      </w:r>
      <w:r w:rsidRPr="00867B7A">
        <w:rPr>
          <w:i/>
          <w:iCs/>
        </w:rPr>
        <w:t>Paul Bach-y-Rita</w:t>
      </w:r>
      <w:r w:rsidRPr="00867B7A">
        <w:rPr>
          <w:i/>
          <w:iCs/>
        </w:rPr>
        <w:t xml:space="preserve"> et al</w:t>
      </w:r>
      <w:r>
        <w:t>. The idea was initially generic with regards to choosing the sensory</w:t>
      </w:r>
      <w:r w:rsidR="00867B7A">
        <w:t xml:space="preserve"> modality for compensating the loss of another. Later </w:t>
      </w:r>
      <w:proofErr w:type="gramStart"/>
      <w:r w:rsidR="00867B7A">
        <w:t>on</w:t>
      </w:r>
      <w:proofErr w:type="gramEnd"/>
      <w:r>
        <w:t xml:space="preserve"> </w:t>
      </w:r>
      <w:r w:rsidR="00867B7A" w:rsidRPr="00867B7A">
        <w:rPr>
          <w:i/>
          <w:iCs/>
        </w:rPr>
        <w:t>Paul Bach-y-Rita</w:t>
      </w:r>
      <w:r w:rsidR="00867B7A">
        <w:t xml:space="preserve"> came up with a tactile approach, called the </w:t>
      </w:r>
      <w:r w:rsidR="00C8263E" w:rsidRPr="00C8263E">
        <w:rPr>
          <w:i/>
          <w:iCs/>
        </w:rPr>
        <w:t>Tactile-visual-Sensory-Substitution</w:t>
      </w:r>
      <w:r w:rsidR="00867B7A">
        <w:t xml:space="preserve"> to convert images to tactile sensations on sensors on the body. Later a more popular approach with sound was introduced by Peter Meijer with his invention of </w:t>
      </w:r>
      <w:proofErr w:type="gramStart"/>
      <w:r w:rsidR="00867B7A" w:rsidRPr="00867B7A">
        <w:rPr>
          <w:i/>
          <w:iCs/>
        </w:rPr>
        <w:t>The</w:t>
      </w:r>
      <w:proofErr w:type="gramEnd"/>
      <w:r w:rsidR="00867B7A" w:rsidRPr="00867B7A">
        <w:rPr>
          <w:i/>
          <w:iCs/>
        </w:rPr>
        <w:t xml:space="preserve"> </w:t>
      </w:r>
      <w:proofErr w:type="spellStart"/>
      <w:r w:rsidR="00867B7A" w:rsidRPr="00867B7A">
        <w:rPr>
          <w:i/>
          <w:iCs/>
        </w:rPr>
        <w:t>vOICe</w:t>
      </w:r>
      <w:proofErr w:type="spellEnd"/>
      <w:r w:rsidR="00C8263E">
        <w:rPr>
          <w:i/>
          <w:iCs/>
        </w:rPr>
        <w:t>.</w:t>
      </w:r>
    </w:p>
    <w:p w:rsidR="00DE2B45" w:rsidRPr="00B709AF" w:rsidRDefault="00C8263E" w:rsidP="00225903">
      <w:pPr>
        <w:ind w:left="-630" w:right="-540"/>
        <w:jc w:val="both"/>
      </w:pPr>
      <w:r>
        <w:t xml:space="preserve">In the future the sensory substitution field will move towards sensory augmentation and brain implants to compensate the loss </w:t>
      </w:r>
      <w:r w:rsidR="00DE2B45">
        <w:t>of a sensory modality.</w:t>
      </w:r>
    </w:p>
    <w:p w:rsidR="00A00A30" w:rsidRPr="00A00A30" w:rsidRDefault="00A00A30" w:rsidP="00225903">
      <w:pPr>
        <w:ind w:left="-630" w:right="-540"/>
        <w:jc w:val="both"/>
        <w:rPr>
          <w:sz w:val="24"/>
          <w:szCs w:val="24"/>
        </w:rPr>
      </w:pPr>
      <w:r w:rsidRPr="00A00A30">
        <w:rPr>
          <w:b/>
          <w:bCs/>
          <w:sz w:val="24"/>
          <w:szCs w:val="24"/>
        </w:rPr>
        <w:t>Key Players:</w:t>
      </w:r>
      <w:r w:rsidRPr="00A00A30">
        <w:rPr>
          <w:sz w:val="24"/>
          <w:szCs w:val="24"/>
        </w:rPr>
        <w:t xml:space="preserve"> </w:t>
      </w:r>
    </w:p>
    <w:p w:rsidR="00246AA1" w:rsidRDefault="00246AA1" w:rsidP="00225903">
      <w:pPr>
        <w:ind w:left="-630" w:right="-540"/>
        <w:jc w:val="both"/>
        <w:rPr>
          <w:lang w:val="en-IN"/>
        </w:rPr>
      </w:pPr>
      <w:r>
        <w:t xml:space="preserve">There are some key players who have researched with the same motivation as ours to help the visually impaired but have dominantly taken a completely different approach involving </w:t>
      </w:r>
      <w:proofErr w:type="gramStart"/>
      <w:r>
        <w:t>bio-mechanics</w:t>
      </w:r>
      <w:proofErr w:type="gramEnd"/>
      <w:r>
        <w:t xml:space="preserve"> to go for sensory substitution devices (SSD). The most notable of them would be </w:t>
      </w:r>
      <w:proofErr w:type="gramStart"/>
      <w:r w:rsidRPr="00246AA1">
        <w:rPr>
          <w:lang w:val="en-IN"/>
        </w:rPr>
        <w:t>The</w:t>
      </w:r>
      <w:proofErr w:type="gramEnd"/>
      <w:r w:rsidRPr="00246AA1">
        <w:rPr>
          <w:lang w:val="en-IN"/>
        </w:rPr>
        <w:t xml:space="preserve"> </w:t>
      </w:r>
      <w:proofErr w:type="spellStart"/>
      <w:r w:rsidRPr="00246AA1">
        <w:rPr>
          <w:lang w:val="en-IN"/>
        </w:rPr>
        <w:t>vOICe</w:t>
      </w:r>
      <w:proofErr w:type="spellEnd"/>
      <w:r w:rsidRPr="00246AA1">
        <w:rPr>
          <w:lang w:val="en-IN"/>
        </w:rPr>
        <w:t xml:space="preserve"> SSD, Tactile Vision Sensory Substitution (TVSS), Prosthesis Substituting Vision for Audition (PSVA)</w:t>
      </w:r>
      <w:r w:rsidR="00A00A30">
        <w:rPr>
          <w:lang w:val="en-IN"/>
        </w:rPr>
        <w:t>.</w:t>
      </w:r>
    </w:p>
    <w:p w:rsidR="00225903" w:rsidRPr="00A00A30" w:rsidRDefault="00225903" w:rsidP="00225903">
      <w:pPr>
        <w:ind w:left="-630" w:right="-540"/>
        <w:jc w:val="both"/>
      </w:pPr>
    </w:p>
    <w:p w:rsidR="00B709AF" w:rsidRDefault="00B709AF" w:rsidP="00225903">
      <w:pPr>
        <w:ind w:left="-630" w:right="-540"/>
        <w:jc w:val="both"/>
        <w:rPr>
          <w:b/>
          <w:bCs/>
          <w:sz w:val="24"/>
          <w:szCs w:val="24"/>
        </w:rPr>
      </w:pPr>
      <w:r w:rsidRPr="00B709AF">
        <w:rPr>
          <w:b/>
          <w:bCs/>
          <w:sz w:val="24"/>
          <w:szCs w:val="24"/>
        </w:rPr>
        <w:t>Key Methodologies Identified:</w:t>
      </w:r>
    </w:p>
    <w:tbl>
      <w:tblPr>
        <w:tblStyle w:val="TableGrid"/>
        <w:tblW w:w="0" w:type="auto"/>
        <w:tblLook w:val="04A0" w:firstRow="1" w:lastRow="0" w:firstColumn="1" w:lastColumn="0" w:noHBand="0" w:noVBand="1"/>
      </w:tblPr>
      <w:tblGrid>
        <w:gridCol w:w="4788"/>
        <w:gridCol w:w="4788"/>
      </w:tblGrid>
      <w:tr w:rsidR="00B709AF" w:rsidTr="00B709AF">
        <w:tc>
          <w:tcPr>
            <w:tcW w:w="4788" w:type="dxa"/>
          </w:tcPr>
          <w:p w:rsidR="00B709AF" w:rsidRPr="00B709AF" w:rsidRDefault="00B709AF" w:rsidP="00225903">
            <w:pPr>
              <w:ind w:left="-630" w:right="-540"/>
              <w:jc w:val="both"/>
              <w:rPr>
                <w:b/>
                <w:bCs/>
              </w:rPr>
            </w:pPr>
            <w:r w:rsidRPr="00B709AF">
              <w:rPr>
                <w:b/>
                <w:bCs/>
              </w:rPr>
              <w:t>IMAGE ENCODERS</w:t>
            </w:r>
          </w:p>
        </w:tc>
        <w:tc>
          <w:tcPr>
            <w:tcW w:w="4788" w:type="dxa"/>
          </w:tcPr>
          <w:p w:rsidR="00B709AF" w:rsidRPr="00B709AF" w:rsidRDefault="00B709AF" w:rsidP="00225903">
            <w:pPr>
              <w:ind w:left="-630" w:right="-540"/>
              <w:jc w:val="both"/>
              <w:rPr>
                <w:sz w:val="24"/>
                <w:szCs w:val="24"/>
              </w:rPr>
            </w:pPr>
            <w:proofErr w:type="spellStart"/>
            <w:r w:rsidRPr="00B709AF">
              <w:rPr>
                <w:sz w:val="24"/>
                <w:szCs w:val="24"/>
              </w:rPr>
              <w:t>AlexNet</w:t>
            </w:r>
            <w:proofErr w:type="spellEnd"/>
            <w:r w:rsidRPr="00B709AF">
              <w:rPr>
                <w:sz w:val="24"/>
                <w:szCs w:val="24"/>
              </w:rPr>
              <w:t xml:space="preserve">, InceptionV3, </w:t>
            </w:r>
            <w:proofErr w:type="spellStart"/>
            <w:r w:rsidRPr="00B709AF">
              <w:rPr>
                <w:sz w:val="24"/>
                <w:szCs w:val="24"/>
              </w:rPr>
              <w:t>GoogleNet</w:t>
            </w:r>
            <w:proofErr w:type="spellEnd"/>
            <w:r w:rsidRPr="00B709AF">
              <w:rPr>
                <w:sz w:val="24"/>
                <w:szCs w:val="24"/>
              </w:rPr>
              <w:t xml:space="preserve">, </w:t>
            </w:r>
            <w:proofErr w:type="spellStart"/>
            <w:r w:rsidRPr="00B709AF">
              <w:rPr>
                <w:sz w:val="24"/>
                <w:szCs w:val="24"/>
              </w:rPr>
              <w:t>VGGNet</w:t>
            </w:r>
            <w:proofErr w:type="spellEnd"/>
            <w:r w:rsidRPr="00B709AF">
              <w:rPr>
                <w:sz w:val="24"/>
                <w:szCs w:val="24"/>
              </w:rPr>
              <w:t xml:space="preserve">, </w:t>
            </w:r>
            <w:proofErr w:type="spellStart"/>
            <w:r w:rsidRPr="00B709AF">
              <w:rPr>
                <w:sz w:val="24"/>
                <w:szCs w:val="24"/>
              </w:rPr>
              <w:t>ResNet</w:t>
            </w:r>
            <w:proofErr w:type="spellEnd"/>
          </w:p>
        </w:tc>
      </w:tr>
      <w:tr w:rsidR="00B709AF" w:rsidTr="00B709AF">
        <w:tc>
          <w:tcPr>
            <w:tcW w:w="4788" w:type="dxa"/>
          </w:tcPr>
          <w:p w:rsidR="00B709AF" w:rsidRPr="00B709AF" w:rsidRDefault="00B709AF" w:rsidP="00225903">
            <w:pPr>
              <w:ind w:left="-630" w:right="-540"/>
              <w:jc w:val="both"/>
              <w:rPr>
                <w:b/>
                <w:bCs/>
              </w:rPr>
            </w:pPr>
            <w:r w:rsidRPr="00B709AF">
              <w:rPr>
                <w:b/>
                <w:bCs/>
              </w:rPr>
              <w:t>LANGUAGE DECODERS</w:t>
            </w:r>
          </w:p>
        </w:tc>
        <w:tc>
          <w:tcPr>
            <w:tcW w:w="4788" w:type="dxa"/>
          </w:tcPr>
          <w:p w:rsidR="00B709AF" w:rsidRPr="00B709AF" w:rsidRDefault="00B709AF" w:rsidP="00225903">
            <w:pPr>
              <w:ind w:left="-630" w:right="-540"/>
              <w:jc w:val="both"/>
              <w:rPr>
                <w:sz w:val="24"/>
                <w:szCs w:val="24"/>
              </w:rPr>
            </w:pPr>
            <w:r w:rsidRPr="00B709AF">
              <w:rPr>
                <w:sz w:val="24"/>
                <w:szCs w:val="24"/>
              </w:rPr>
              <w:t>LSTM, GRU, Language CNN</w:t>
            </w:r>
          </w:p>
        </w:tc>
      </w:tr>
      <w:tr w:rsidR="00B709AF" w:rsidTr="00B709AF">
        <w:tc>
          <w:tcPr>
            <w:tcW w:w="4788" w:type="dxa"/>
          </w:tcPr>
          <w:p w:rsidR="00B709AF" w:rsidRPr="00B709AF" w:rsidRDefault="00B709AF" w:rsidP="00225903">
            <w:pPr>
              <w:ind w:left="-630" w:right="-540"/>
              <w:jc w:val="both"/>
              <w:rPr>
                <w:b/>
                <w:bCs/>
              </w:rPr>
            </w:pPr>
            <w:r w:rsidRPr="00B709AF">
              <w:rPr>
                <w:b/>
                <w:bCs/>
              </w:rPr>
              <w:t>DATASETS</w:t>
            </w:r>
          </w:p>
        </w:tc>
        <w:tc>
          <w:tcPr>
            <w:tcW w:w="4788" w:type="dxa"/>
          </w:tcPr>
          <w:p w:rsidR="00B709AF" w:rsidRPr="00B709AF" w:rsidRDefault="00B709AF" w:rsidP="00225903">
            <w:pPr>
              <w:ind w:left="-630" w:right="-540"/>
              <w:jc w:val="both"/>
              <w:rPr>
                <w:sz w:val="24"/>
                <w:szCs w:val="24"/>
              </w:rPr>
            </w:pPr>
            <w:proofErr w:type="spellStart"/>
            <w:r w:rsidRPr="00B709AF">
              <w:rPr>
                <w:sz w:val="24"/>
                <w:szCs w:val="24"/>
              </w:rPr>
              <w:t>flickr</w:t>
            </w:r>
            <w:proofErr w:type="spellEnd"/>
            <w:r w:rsidRPr="00B709AF">
              <w:rPr>
                <w:sz w:val="24"/>
                <w:szCs w:val="24"/>
              </w:rPr>
              <w:t xml:space="preserve"> 8k/30k, MS-COCO, </w:t>
            </w:r>
            <w:proofErr w:type="spellStart"/>
            <w:r w:rsidRPr="00B709AF">
              <w:rPr>
                <w:sz w:val="24"/>
                <w:szCs w:val="24"/>
              </w:rPr>
              <w:t>imagenet</w:t>
            </w:r>
            <w:proofErr w:type="spellEnd"/>
          </w:p>
        </w:tc>
      </w:tr>
      <w:tr w:rsidR="00B709AF" w:rsidTr="00B709AF">
        <w:tc>
          <w:tcPr>
            <w:tcW w:w="4788" w:type="dxa"/>
          </w:tcPr>
          <w:p w:rsidR="00B709AF" w:rsidRPr="00B709AF" w:rsidRDefault="00B709AF" w:rsidP="00225903">
            <w:pPr>
              <w:ind w:left="-630" w:right="-540"/>
              <w:jc w:val="both"/>
              <w:rPr>
                <w:b/>
                <w:bCs/>
              </w:rPr>
            </w:pPr>
            <w:r w:rsidRPr="00B709AF">
              <w:rPr>
                <w:b/>
                <w:bCs/>
              </w:rPr>
              <w:t>EVALUATION METRICS</w:t>
            </w:r>
          </w:p>
        </w:tc>
        <w:tc>
          <w:tcPr>
            <w:tcW w:w="4788" w:type="dxa"/>
          </w:tcPr>
          <w:p w:rsidR="00B709AF" w:rsidRPr="00B709AF" w:rsidRDefault="00B709AF" w:rsidP="00225903">
            <w:pPr>
              <w:ind w:left="-630" w:right="-540"/>
              <w:jc w:val="both"/>
              <w:rPr>
                <w:sz w:val="24"/>
                <w:szCs w:val="24"/>
              </w:rPr>
            </w:pPr>
            <w:r w:rsidRPr="00B709AF">
              <w:rPr>
                <w:sz w:val="24"/>
                <w:szCs w:val="24"/>
              </w:rPr>
              <w:t xml:space="preserve">BLEU, METEOR, </w:t>
            </w:r>
            <w:proofErr w:type="spellStart"/>
            <w:r w:rsidRPr="00B709AF">
              <w:rPr>
                <w:sz w:val="24"/>
                <w:szCs w:val="24"/>
              </w:rPr>
              <w:t>CIDEr</w:t>
            </w:r>
            <w:proofErr w:type="spellEnd"/>
          </w:p>
        </w:tc>
      </w:tr>
    </w:tbl>
    <w:p w:rsidR="00B709AF" w:rsidRPr="00B709AF" w:rsidRDefault="00B709AF" w:rsidP="00225903">
      <w:pPr>
        <w:ind w:left="-630" w:right="-540"/>
        <w:jc w:val="both"/>
        <w:rPr>
          <w:b/>
          <w:bCs/>
          <w:sz w:val="24"/>
          <w:szCs w:val="24"/>
        </w:rPr>
      </w:pPr>
    </w:p>
    <w:p w:rsidR="00B709AF" w:rsidRPr="00B709AF" w:rsidRDefault="00B709AF" w:rsidP="00B709AF">
      <w:pPr>
        <w:ind w:left="-990"/>
        <w:jc w:val="both"/>
        <w:rPr>
          <w:rFonts w:ascii="Arial" w:hAnsi="Arial" w:cs="Arial"/>
          <w:b/>
        </w:rPr>
      </w:pPr>
      <w:r>
        <w:rPr>
          <w:rFonts w:ascii="Arial" w:hAnsi="Arial" w:cs="Arial"/>
          <w:b/>
        </w:rPr>
        <w:lastRenderedPageBreak/>
        <w:t>Literature Review:</w:t>
      </w:r>
    </w:p>
    <w:tbl>
      <w:tblPr>
        <w:tblStyle w:val="TableGrid"/>
        <w:tblW w:w="11250" w:type="dxa"/>
        <w:tblInd w:w="-882" w:type="dxa"/>
        <w:tblLook w:val="04A0" w:firstRow="1" w:lastRow="0" w:firstColumn="1" w:lastColumn="0" w:noHBand="0" w:noVBand="1"/>
      </w:tblPr>
      <w:tblGrid>
        <w:gridCol w:w="630"/>
        <w:gridCol w:w="4320"/>
        <w:gridCol w:w="3114"/>
        <w:gridCol w:w="3186"/>
      </w:tblGrid>
      <w:tr w:rsidR="00DE2B45" w:rsidTr="00DE2B45">
        <w:tc>
          <w:tcPr>
            <w:tcW w:w="630" w:type="dxa"/>
          </w:tcPr>
          <w:p w:rsidR="00DE2B45" w:rsidRDefault="00DE2B45" w:rsidP="00225903">
            <w:pPr>
              <w:jc w:val="center"/>
            </w:pPr>
            <w:r>
              <w:t>Sr no</w:t>
            </w:r>
          </w:p>
        </w:tc>
        <w:tc>
          <w:tcPr>
            <w:tcW w:w="4320" w:type="dxa"/>
          </w:tcPr>
          <w:p w:rsidR="00DE2B45" w:rsidRDefault="00DE2B45" w:rsidP="00DE2B45">
            <w:pPr>
              <w:jc w:val="center"/>
            </w:pPr>
            <w:r>
              <w:t>Research Paper</w:t>
            </w:r>
          </w:p>
        </w:tc>
        <w:tc>
          <w:tcPr>
            <w:tcW w:w="3114" w:type="dxa"/>
          </w:tcPr>
          <w:p w:rsidR="00DE2B45" w:rsidRDefault="00DE2B45" w:rsidP="00DE2B45">
            <w:pPr>
              <w:jc w:val="center"/>
            </w:pPr>
            <w:r>
              <w:t>Author</w:t>
            </w:r>
          </w:p>
        </w:tc>
        <w:tc>
          <w:tcPr>
            <w:tcW w:w="3186" w:type="dxa"/>
          </w:tcPr>
          <w:p w:rsidR="00DE2B45" w:rsidRDefault="00DE2B45" w:rsidP="00DE2B45">
            <w:pPr>
              <w:jc w:val="center"/>
            </w:pPr>
            <w:r>
              <w:t>Inference</w:t>
            </w:r>
          </w:p>
        </w:tc>
      </w:tr>
      <w:tr w:rsidR="00DE2B45" w:rsidTr="00DE2B45">
        <w:tc>
          <w:tcPr>
            <w:tcW w:w="630" w:type="dxa"/>
          </w:tcPr>
          <w:p w:rsidR="00DE2B45" w:rsidRDefault="00DE2B45" w:rsidP="00225903">
            <w:pPr>
              <w:jc w:val="center"/>
            </w:pPr>
            <w:r>
              <w:t>1</w:t>
            </w:r>
          </w:p>
        </w:tc>
        <w:tc>
          <w:tcPr>
            <w:tcW w:w="4320" w:type="dxa"/>
          </w:tcPr>
          <w:p w:rsidR="00DE2B45" w:rsidRDefault="00DE2B45">
            <w:r w:rsidRPr="00DE2B45">
              <w:t>Compositional generalization in a deep sequence to sequence model</w:t>
            </w:r>
          </w:p>
        </w:tc>
        <w:tc>
          <w:tcPr>
            <w:tcW w:w="3114" w:type="dxa"/>
          </w:tcPr>
          <w:p w:rsidR="00DE2B45" w:rsidRDefault="00DE2B45">
            <w:r w:rsidRPr="00DE2B45">
              <w:rPr>
                <w:lang w:val="en-IN"/>
              </w:rPr>
              <w:t xml:space="preserve">Jake </w:t>
            </w:r>
            <w:proofErr w:type="spellStart"/>
            <w:r w:rsidRPr="00DE2B45">
              <w:rPr>
                <w:lang w:val="en-IN"/>
              </w:rPr>
              <w:t>Russi</w:t>
            </w:r>
            <w:proofErr w:type="spellEnd"/>
            <w:r w:rsidRPr="00DE2B45">
              <w:rPr>
                <w:lang w:val="en-IN"/>
              </w:rPr>
              <w:t xml:space="preserve">, Jason Jo, Randall O’Reilly, </w:t>
            </w:r>
            <w:proofErr w:type="spellStart"/>
            <w:r w:rsidRPr="00DE2B45">
              <w:rPr>
                <w:lang w:val="en-IN"/>
              </w:rPr>
              <w:t>Yoshua</w:t>
            </w:r>
            <w:proofErr w:type="spellEnd"/>
            <w:r w:rsidRPr="00DE2B45">
              <w:rPr>
                <w:lang w:val="en-IN"/>
              </w:rPr>
              <w:t xml:space="preserve"> </w:t>
            </w:r>
            <w:proofErr w:type="spellStart"/>
            <w:r w:rsidRPr="00DE2B45">
              <w:rPr>
                <w:lang w:val="en-IN"/>
              </w:rPr>
              <w:t>Bengio</w:t>
            </w:r>
            <w:proofErr w:type="spellEnd"/>
          </w:p>
        </w:tc>
        <w:tc>
          <w:tcPr>
            <w:tcW w:w="3186" w:type="dxa"/>
          </w:tcPr>
          <w:p w:rsidR="00DE2B45" w:rsidRDefault="00B709AF">
            <w:r w:rsidRPr="00B709AF">
              <w:rPr>
                <w:lang w:val="en-IN"/>
              </w:rPr>
              <w:t>Significant improvement on generalization task by imposing an analogous separation on SCAN dataset as compared to previous works</w:t>
            </w:r>
          </w:p>
        </w:tc>
      </w:tr>
      <w:tr w:rsidR="00DE2B45" w:rsidTr="00DE2B45">
        <w:tc>
          <w:tcPr>
            <w:tcW w:w="630" w:type="dxa"/>
          </w:tcPr>
          <w:p w:rsidR="00DE2B45" w:rsidRDefault="00B709AF" w:rsidP="00225903">
            <w:pPr>
              <w:jc w:val="center"/>
            </w:pPr>
            <w:r>
              <w:t>2</w:t>
            </w:r>
          </w:p>
        </w:tc>
        <w:tc>
          <w:tcPr>
            <w:tcW w:w="4320" w:type="dxa"/>
          </w:tcPr>
          <w:p w:rsidR="00DE2B45" w:rsidRDefault="00DE2B45">
            <w:r w:rsidRPr="00DE2B45">
              <w:t>Image Captioning with Semantic Attention</w:t>
            </w:r>
          </w:p>
        </w:tc>
        <w:tc>
          <w:tcPr>
            <w:tcW w:w="3114" w:type="dxa"/>
          </w:tcPr>
          <w:p w:rsidR="00DE2B45" w:rsidRDefault="00DE2B45">
            <w:proofErr w:type="spellStart"/>
            <w:r w:rsidRPr="00DE2B45">
              <w:rPr>
                <w:lang w:val="en-IN"/>
              </w:rPr>
              <w:t>Quanzeng</w:t>
            </w:r>
            <w:proofErr w:type="spellEnd"/>
            <w:r w:rsidRPr="00DE2B45">
              <w:rPr>
                <w:lang w:val="en-IN"/>
              </w:rPr>
              <w:t xml:space="preserve"> You, </w:t>
            </w:r>
            <w:proofErr w:type="spellStart"/>
            <w:r w:rsidRPr="00DE2B45">
              <w:rPr>
                <w:lang w:val="en-IN"/>
              </w:rPr>
              <w:t>Hailin</w:t>
            </w:r>
            <w:proofErr w:type="spellEnd"/>
            <w:r w:rsidRPr="00DE2B45">
              <w:rPr>
                <w:lang w:val="en-IN"/>
              </w:rPr>
              <w:t xml:space="preserve"> </w:t>
            </w:r>
            <w:proofErr w:type="spellStart"/>
            <w:r w:rsidRPr="00DE2B45">
              <w:rPr>
                <w:lang w:val="en-IN"/>
              </w:rPr>
              <w:t>Jin</w:t>
            </w:r>
            <w:proofErr w:type="spellEnd"/>
            <w:r w:rsidRPr="00DE2B45">
              <w:rPr>
                <w:lang w:val="en-IN"/>
              </w:rPr>
              <w:t xml:space="preserve">, </w:t>
            </w:r>
            <w:proofErr w:type="spellStart"/>
            <w:r w:rsidRPr="00DE2B45">
              <w:rPr>
                <w:lang w:val="en-IN"/>
              </w:rPr>
              <w:t>Zhaowen</w:t>
            </w:r>
            <w:proofErr w:type="spellEnd"/>
            <w:r w:rsidRPr="00DE2B45">
              <w:rPr>
                <w:lang w:val="en-IN"/>
              </w:rPr>
              <w:t xml:space="preserve"> Wang, Chen Fang, </w:t>
            </w:r>
            <w:proofErr w:type="spellStart"/>
            <w:r w:rsidRPr="00DE2B45">
              <w:rPr>
                <w:lang w:val="en-IN"/>
              </w:rPr>
              <w:t>Jiebo</w:t>
            </w:r>
            <w:proofErr w:type="spellEnd"/>
            <w:r w:rsidRPr="00DE2B45">
              <w:rPr>
                <w:lang w:val="en-IN"/>
              </w:rPr>
              <w:t xml:space="preserve"> Luo</w:t>
            </w:r>
          </w:p>
        </w:tc>
        <w:tc>
          <w:tcPr>
            <w:tcW w:w="3186" w:type="dxa"/>
          </w:tcPr>
          <w:p w:rsidR="00DE2B45" w:rsidRDefault="00B709AF">
            <w:r w:rsidRPr="00B709AF">
              <w:rPr>
                <w:lang w:val="en-IN"/>
              </w:rPr>
              <w:t>Top-down and bottom-up approach is used which is than coupled with RNN to attend on rich semantic attributes. The proposed method gives state-of-art performance across popular benchmark</w:t>
            </w:r>
          </w:p>
        </w:tc>
      </w:tr>
      <w:tr w:rsidR="00DE2B45" w:rsidTr="00DE2B45">
        <w:tc>
          <w:tcPr>
            <w:tcW w:w="630" w:type="dxa"/>
          </w:tcPr>
          <w:p w:rsidR="00DE2B45" w:rsidRDefault="00B709AF" w:rsidP="00225903">
            <w:pPr>
              <w:jc w:val="center"/>
            </w:pPr>
            <w:r>
              <w:t>3</w:t>
            </w:r>
          </w:p>
        </w:tc>
        <w:tc>
          <w:tcPr>
            <w:tcW w:w="4320" w:type="dxa"/>
          </w:tcPr>
          <w:p w:rsidR="00DE2B45" w:rsidRDefault="00DE2B45">
            <w:r w:rsidRPr="00DE2B45">
              <w:t>Short Text Similarity with Word Embeddings</w:t>
            </w:r>
          </w:p>
        </w:tc>
        <w:tc>
          <w:tcPr>
            <w:tcW w:w="3114" w:type="dxa"/>
          </w:tcPr>
          <w:p w:rsidR="00DE2B45" w:rsidRDefault="00DE2B45">
            <w:r w:rsidRPr="00DE2B45">
              <w:rPr>
                <w:lang w:val="nl-NL"/>
              </w:rPr>
              <w:t>Tom Kenter, Maarten de Rijke</w:t>
            </w:r>
          </w:p>
        </w:tc>
        <w:tc>
          <w:tcPr>
            <w:tcW w:w="3186" w:type="dxa"/>
          </w:tcPr>
          <w:p w:rsidR="00DE2B45" w:rsidRDefault="00B709AF">
            <w:r w:rsidRPr="00B709AF">
              <w:rPr>
                <w:lang w:val="en-IN"/>
              </w:rPr>
              <w:t>Computing semantic similarity between short text using semantic only method outperforms previous approaches. The proposed method is independent of NLP tools and hence can be applied to varied domains and languages</w:t>
            </w:r>
          </w:p>
        </w:tc>
      </w:tr>
      <w:tr w:rsidR="00DE2B45" w:rsidTr="00DE2B45">
        <w:tc>
          <w:tcPr>
            <w:tcW w:w="630" w:type="dxa"/>
          </w:tcPr>
          <w:p w:rsidR="00DE2B45" w:rsidRDefault="00B709AF" w:rsidP="00225903">
            <w:pPr>
              <w:jc w:val="center"/>
            </w:pPr>
            <w:r>
              <w:t>4</w:t>
            </w:r>
          </w:p>
        </w:tc>
        <w:tc>
          <w:tcPr>
            <w:tcW w:w="4320" w:type="dxa"/>
          </w:tcPr>
          <w:p w:rsidR="00DE2B45" w:rsidRDefault="00DE2B45">
            <w:r w:rsidRPr="00DE2B45">
              <w:t>Analysis of diversity-accuracy trade off in image captioning</w:t>
            </w:r>
          </w:p>
        </w:tc>
        <w:tc>
          <w:tcPr>
            <w:tcW w:w="3114" w:type="dxa"/>
          </w:tcPr>
          <w:p w:rsidR="00DE2B45" w:rsidRDefault="00DE2B45">
            <w:proofErr w:type="spellStart"/>
            <w:r w:rsidRPr="00DE2B45">
              <w:rPr>
                <w:lang w:val="en-IN"/>
              </w:rPr>
              <w:t>Ruotian</w:t>
            </w:r>
            <w:proofErr w:type="spellEnd"/>
            <w:r w:rsidRPr="00DE2B45">
              <w:rPr>
                <w:lang w:val="en-IN"/>
              </w:rPr>
              <w:t xml:space="preserve"> Luo, Gregory </w:t>
            </w:r>
            <w:proofErr w:type="spellStart"/>
            <w:r w:rsidRPr="00DE2B45">
              <w:rPr>
                <w:lang w:val="en-IN"/>
              </w:rPr>
              <w:t>Shakhnarovich</w:t>
            </w:r>
            <w:proofErr w:type="spellEnd"/>
            <w:r w:rsidRPr="00DE2B45">
              <w:rPr>
                <w:lang w:val="en-IN"/>
              </w:rPr>
              <w:t xml:space="preserve"> - TTI-Chicago</w:t>
            </w:r>
          </w:p>
        </w:tc>
        <w:tc>
          <w:tcPr>
            <w:tcW w:w="3186" w:type="dxa"/>
          </w:tcPr>
          <w:p w:rsidR="00DE2B45" w:rsidRDefault="00B709AF">
            <w:r w:rsidRPr="00B709AF">
              <w:rPr>
                <w:lang w:val="en-IN"/>
              </w:rPr>
              <w:t xml:space="preserve">Diverse beam search has best trade off but slowest, naive sampling with low temperature is competitive. The existing metrics do </w:t>
            </w:r>
            <w:proofErr w:type="spellStart"/>
            <w:r w:rsidRPr="00B709AF">
              <w:rPr>
                <w:lang w:val="en-IN"/>
              </w:rPr>
              <w:t>nit</w:t>
            </w:r>
            <w:proofErr w:type="spellEnd"/>
            <w:r w:rsidRPr="00B709AF">
              <w:rPr>
                <w:lang w:val="en-IN"/>
              </w:rPr>
              <w:t xml:space="preserve"> measure the </w:t>
            </w:r>
            <w:proofErr w:type="spellStart"/>
            <w:r w:rsidRPr="00B709AF">
              <w:rPr>
                <w:lang w:val="en-IN"/>
              </w:rPr>
              <w:t>trade off</w:t>
            </w:r>
            <w:proofErr w:type="spellEnd"/>
            <w:r w:rsidRPr="00B709AF">
              <w:rPr>
                <w:lang w:val="en-IN"/>
              </w:rPr>
              <w:t xml:space="preserve"> rather diversity or accuracy distinctly</w:t>
            </w:r>
          </w:p>
        </w:tc>
      </w:tr>
      <w:tr w:rsidR="00DE2B45" w:rsidTr="00DE2B45">
        <w:tc>
          <w:tcPr>
            <w:tcW w:w="630" w:type="dxa"/>
          </w:tcPr>
          <w:p w:rsidR="00DE2B45" w:rsidRDefault="00B709AF" w:rsidP="00225903">
            <w:pPr>
              <w:jc w:val="center"/>
            </w:pPr>
            <w:r>
              <w:t>5</w:t>
            </w:r>
          </w:p>
        </w:tc>
        <w:tc>
          <w:tcPr>
            <w:tcW w:w="4320" w:type="dxa"/>
          </w:tcPr>
          <w:p w:rsidR="00DE2B45" w:rsidRDefault="00DE2B45">
            <w:r w:rsidRPr="00DE2B45">
              <w:t>Show, Attend and Tell: Neural Image Caption Generation with Visual Attention</w:t>
            </w:r>
          </w:p>
        </w:tc>
        <w:tc>
          <w:tcPr>
            <w:tcW w:w="3114" w:type="dxa"/>
          </w:tcPr>
          <w:p w:rsidR="00DE2B45" w:rsidRDefault="00B709AF">
            <w:r w:rsidRPr="00B709AF">
              <w:rPr>
                <w:lang w:val="en-IN"/>
              </w:rPr>
              <w:t xml:space="preserve">Kelvin Xu, Jimmy Lei Ba, Ryan </w:t>
            </w:r>
            <w:proofErr w:type="spellStart"/>
            <w:r w:rsidRPr="00B709AF">
              <w:rPr>
                <w:lang w:val="en-IN"/>
              </w:rPr>
              <w:t>Kiros</w:t>
            </w:r>
            <w:proofErr w:type="spellEnd"/>
            <w:r w:rsidRPr="00B709AF">
              <w:rPr>
                <w:lang w:val="en-IN"/>
              </w:rPr>
              <w:t xml:space="preserve">, </w:t>
            </w:r>
            <w:proofErr w:type="spellStart"/>
            <w:r w:rsidRPr="00B709AF">
              <w:rPr>
                <w:lang w:val="en-IN"/>
              </w:rPr>
              <w:t>Kyunghyun</w:t>
            </w:r>
            <w:proofErr w:type="spellEnd"/>
            <w:r w:rsidRPr="00B709AF">
              <w:rPr>
                <w:lang w:val="en-IN"/>
              </w:rPr>
              <w:t xml:space="preserve"> Cho, Aaron Courville, Ruslan </w:t>
            </w:r>
            <w:proofErr w:type="spellStart"/>
            <w:r w:rsidRPr="00B709AF">
              <w:rPr>
                <w:lang w:val="en-IN"/>
              </w:rPr>
              <w:t>Salakhutdinov</w:t>
            </w:r>
            <w:proofErr w:type="spellEnd"/>
            <w:r w:rsidRPr="00B709AF">
              <w:rPr>
                <w:lang w:val="en-IN"/>
              </w:rPr>
              <w:t xml:space="preserve">, Richard S. </w:t>
            </w:r>
            <w:proofErr w:type="spellStart"/>
            <w:r w:rsidRPr="00B709AF">
              <w:rPr>
                <w:lang w:val="en-IN"/>
              </w:rPr>
              <w:t>Zemel</w:t>
            </w:r>
            <w:proofErr w:type="spellEnd"/>
            <w:r w:rsidRPr="00B709AF">
              <w:rPr>
                <w:lang w:val="en-IN"/>
              </w:rPr>
              <w:t xml:space="preserve">, </w:t>
            </w:r>
            <w:proofErr w:type="spellStart"/>
            <w:r w:rsidRPr="00B709AF">
              <w:rPr>
                <w:lang w:val="en-IN"/>
              </w:rPr>
              <w:t>Yoshua</w:t>
            </w:r>
            <w:proofErr w:type="spellEnd"/>
            <w:r w:rsidRPr="00B709AF">
              <w:rPr>
                <w:lang w:val="en-IN"/>
              </w:rPr>
              <w:t xml:space="preserve"> </w:t>
            </w:r>
            <w:proofErr w:type="spellStart"/>
            <w:r w:rsidRPr="00B709AF">
              <w:rPr>
                <w:lang w:val="en-IN"/>
              </w:rPr>
              <w:t>Bengio</w:t>
            </w:r>
            <w:proofErr w:type="spellEnd"/>
            <w:r w:rsidRPr="00B709AF">
              <w:rPr>
                <w:lang w:val="en-IN"/>
              </w:rPr>
              <w:t> </w:t>
            </w:r>
          </w:p>
        </w:tc>
        <w:tc>
          <w:tcPr>
            <w:tcW w:w="3186" w:type="dxa"/>
          </w:tcPr>
          <w:p w:rsidR="00DE2B45" w:rsidRDefault="00B709AF">
            <w:r w:rsidRPr="00B709AF">
              <w:rPr>
                <w:lang w:val="en-IN"/>
              </w:rPr>
              <w:t>Attention model significantly improves caption accuracy. Soft attention (deterministic) is more popular as back propagation is more effective on regular and easier gradient whereas hard attention (deterministic) depends on number if sampling and how well it is sampled</w:t>
            </w:r>
          </w:p>
        </w:tc>
      </w:tr>
      <w:tr w:rsidR="00DE2B45" w:rsidTr="00225903">
        <w:trPr>
          <w:trHeight w:val="1952"/>
        </w:trPr>
        <w:tc>
          <w:tcPr>
            <w:tcW w:w="630" w:type="dxa"/>
          </w:tcPr>
          <w:p w:rsidR="00DE2B45" w:rsidRDefault="00B709AF" w:rsidP="00225903">
            <w:pPr>
              <w:jc w:val="center"/>
            </w:pPr>
            <w:r>
              <w:t>6</w:t>
            </w:r>
          </w:p>
        </w:tc>
        <w:tc>
          <w:tcPr>
            <w:tcW w:w="4320" w:type="dxa"/>
          </w:tcPr>
          <w:p w:rsidR="00DE2B45" w:rsidRDefault="00DE2B45">
            <w:r w:rsidRPr="00DE2B45">
              <w:t>LSTM vs. GRU vs. Bidirectional RNN for script generation</w:t>
            </w:r>
          </w:p>
        </w:tc>
        <w:tc>
          <w:tcPr>
            <w:tcW w:w="3114" w:type="dxa"/>
          </w:tcPr>
          <w:p w:rsidR="00DE2B45" w:rsidRDefault="00B709AF">
            <w:proofErr w:type="spellStart"/>
            <w:r w:rsidRPr="00B709AF">
              <w:rPr>
                <w:lang w:val="en-IN"/>
              </w:rPr>
              <w:t>Sanidhya</w:t>
            </w:r>
            <w:proofErr w:type="spellEnd"/>
            <w:r w:rsidRPr="00B709AF">
              <w:rPr>
                <w:lang w:val="en-IN"/>
              </w:rPr>
              <w:t xml:space="preserve"> Mangal, </w:t>
            </w:r>
            <w:proofErr w:type="spellStart"/>
            <w:r w:rsidRPr="00B709AF">
              <w:rPr>
                <w:lang w:val="en-IN"/>
              </w:rPr>
              <w:t>Poorva</w:t>
            </w:r>
            <w:proofErr w:type="spellEnd"/>
            <w:r w:rsidRPr="00B709AF">
              <w:rPr>
                <w:lang w:val="en-IN"/>
              </w:rPr>
              <w:t xml:space="preserve"> Joshi, Rahul </w:t>
            </w:r>
            <w:proofErr w:type="spellStart"/>
            <w:r w:rsidRPr="00B709AF">
              <w:rPr>
                <w:lang w:val="en-IN"/>
              </w:rPr>
              <w:t>Modak</w:t>
            </w:r>
            <w:proofErr w:type="spellEnd"/>
          </w:p>
        </w:tc>
        <w:tc>
          <w:tcPr>
            <w:tcW w:w="3186" w:type="dxa"/>
          </w:tcPr>
          <w:p w:rsidR="00DE2B45" w:rsidRDefault="00B709AF">
            <w:r w:rsidRPr="00B709AF">
              <w:rPr>
                <w:lang w:val="en-IN"/>
              </w:rPr>
              <w:t>LSTM are most efficient having the capability to forget irrelevant data, GRU is a bit less accurate however is faster, bidirectional RNN are the most accurate however are the slowest</w:t>
            </w:r>
          </w:p>
        </w:tc>
      </w:tr>
    </w:tbl>
    <w:p w:rsidR="00246AA1" w:rsidRDefault="00246AA1" w:rsidP="00225903"/>
    <w:sectPr w:rsidR="00246AA1" w:rsidSect="00225903">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F543E"/>
    <w:rsid w:val="00225903"/>
    <w:rsid w:val="00246AA1"/>
    <w:rsid w:val="00344AD2"/>
    <w:rsid w:val="00867B7A"/>
    <w:rsid w:val="008E281A"/>
    <w:rsid w:val="00A00A30"/>
    <w:rsid w:val="00A04A2D"/>
    <w:rsid w:val="00B709AF"/>
    <w:rsid w:val="00BF543E"/>
    <w:rsid w:val="00C8263E"/>
    <w:rsid w:val="00DE2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D9F1B"/>
  <w15:chartTrackingRefBased/>
  <w15:docId w15:val="{CC1373C9-0171-4129-8A03-66E197EA8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AA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E2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31638">
      <w:bodyDiv w:val="1"/>
      <w:marLeft w:val="0"/>
      <w:marRight w:val="0"/>
      <w:marTop w:val="0"/>
      <w:marBottom w:val="0"/>
      <w:divBdr>
        <w:top w:val="none" w:sz="0" w:space="0" w:color="auto"/>
        <w:left w:val="none" w:sz="0" w:space="0" w:color="auto"/>
        <w:bottom w:val="none" w:sz="0" w:space="0" w:color="auto"/>
        <w:right w:val="none" w:sz="0" w:space="0" w:color="auto"/>
      </w:divBdr>
    </w:div>
    <w:div w:id="402339933">
      <w:bodyDiv w:val="1"/>
      <w:marLeft w:val="0"/>
      <w:marRight w:val="0"/>
      <w:marTop w:val="0"/>
      <w:marBottom w:val="0"/>
      <w:divBdr>
        <w:top w:val="none" w:sz="0" w:space="0" w:color="auto"/>
        <w:left w:val="none" w:sz="0" w:space="0" w:color="auto"/>
        <w:bottom w:val="none" w:sz="0" w:space="0" w:color="auto"/>
        <w:right w:val="none" w:sz="0" w:space="0" w:color="auto"/>
      </w:divBdr>
    </w:div>
    <w:div w:id="496070438">
      <w:bodyDiv w:val="1"/>
      <w:marLeft w:val="0"/>
      <w:marRight w:val="0"/>
      <w:marTop w:val="0"/>
      <w:marBottom w:val="0"/>
      <w:divBdr>
        <w:top w:val="none" w:sz="0" w:space="0" w:color="auto"/>
        <w:left w:val="none" w:sz="0" w:space="0" w:color="auto"/>
        <w:bottom w:val="none" w:sz="0" w:space="0" w:color="auto"/>
        <w:right w:val="none" w:sz="0" w:space="0" w:color="auto"/>
      </w:divBdr>
    </w:div>
    <w:div w:id="630671685">
      <w:bodyDiv w:val="1"/>
      <w:marLeft w:val="0"/>
      <w:marRight w:val="0"/>
      <w:marTop w:val="0"/>
      <w:marBottom w:val="0"/>
      <w:divBdr>
        <w:top w:val="none" w:sz="0" w:space="0" w:color="auto"/>
        <w:left w:val="none" w:sz="0" w:space="0" w:color="auto"/>
        <w:bottom w:val="none" w:sz="0" w:space="0" w:color="auto"/>
        <w:right w:val="none" w:sz="0" w:space="0" w:color="auto"/>
      </w:divBdr>
    </w:div>
    <w:div w:id="1003124282">
      <w:bodyDiv w:val="1"/>
      <w:marLeft w:val="0"/>
      <w:marRight w:val="0"/>
      <w:marTop w:val="0"/>
      <w:marBottom w:val="0"/>
      <w:divBdr>
        <w:top w:val="none" w:sz="0" w:space="0" w:color="auto"/>
        <w:left w:val="none" w:sz="0" w:space="0" w:color="auto"/>
        <w:bottom w:val="none" w:sz="0" w:space="0" w:color="auto"/>
        <w:right w:val="none" w:sz="0" w:space="0" w:color="auto"/>
      </w:divBdr>
    </w:div>
    <w:div w:id="1033723418">
      <w:bodyDiv w:val="1"/>
      <w:marLeft w:val="0"/>
      <w:marRight w:val="0"/>
      <w:marTop w:val="0"/>
      <w:marBottom w:val="0"/>
      <w:divBdr>
        <w:top w:val="none" w:sz="0" w:space="0" w:color="auto"/>
        <w:left w:val="none" w:sz="0" w:space="0" w:color="auto"/>
        <w:bottom w:val="none" w:sz="0" w:space="0" w:color="auto"/>
        <w:right w:val="none" w:sz="0" w:space="0" w:color="auto"/>
      </w:divBdr>
    </w:div>
    <w:div w:id="1186212857">
      <w:bodyDiv w:val="1"/>
      <w:marLeft w:val="0"/>
      <w:marRight w:val="0"/>
      <w:marTop w:val="0"/>
      <w:marBottom w:val="0"/>
      <w:divBdr>
        <w:top w:val="none" w:sz="0" w:space="0" w:color="auto"/>
        <w:left w:val="none" w:sz="0" w:space="0" w:color="auto"/>
        <w:bottom w:val="none" w:sz="0" w:space="0" w:color="auto"/>
        <w:right w:val="none" w:sz="0" w:space="0" w:color="auto"/>
      </w:divBdr>
    </w:div>
    <w:div w:id="1383941755">
      <w:bodyDiv w:val="1"/>
      <w:marLeft w:val="0"/>
      <w:marRight w:val="0"/>
      <w:marTop w:val="0"/>
      <w:marBottom w:val="0"/>
      <w:divBdr>
        <w:top w:val="none" w:sz="0" w:space="0" w:color="auto"/>
        <w:left w:val="none" w:sz="0" w:space="0" w:color="auto"/>
        <w:bottom w:val="none" w:sz="0" w:space="0" w:color="auto"/>
        <w:right w:val="none" w:sz="0" w:space="0" w:color="auto"/>
      </w:divBdr>
    </w:div>
    <w:div w:id="2037997523">
      <w:bodyDiv w:val="1"/>
      <w:marLeft w:val="0"/>
      <w:marRight w:val="0"/>
      <w:marTop w:val="0"/>
      <w:marBottom w:val="0"/>
      <w:divBdr>
        <w:top w:val="none" w:sz="0" w:space="0" w:color="auto"/>
        <w:left w:val="none" w:sz="0" w:space="0" w:color="auto"/>
        <w:bottom w:val="none" w:sz="0" w:space="0" w:color="auto"/>
        <w:right w:val="none" w:sz="0" w:space="0" w:color="auto"/>
      </w:divBdr>
    </w:div>
    <w:div w:id="2080127051">
      <w:bodyDiv w:val="1"/>
      <w:marLeft w:val="0"/>
      <w:marRight w:val="0"/>
      <w:marTop w:val="0"/>
      <w:marBottom w:val="0"/>
      <w:divBdr>
        <w:top w:val="none" w:sz="0" w:space="0" w:color="auto"/>
        <w:left w:val="none" w:sz="0" w:space="0" w:color="auto"/>
        <w:bottom w:val="none" w:sz="0" w:space="0" w:color="auto"/>
        <w:right w:val="none" w:sz="0" w:space="0" w:color="auto"/>
      </w:divBdr>
    </w:div>
    <w:div w:id="2084839676">
      <w:bodyDiv w:val="1"/>
      <w:marLeft w:val="0"/>
      <w:marRight w:val="0"/>
      <w:marTop w:val="0"/>
      <w:marBottom w:val="0"/>
      <w:divBdr>
        <w:top w:val="none" w:sz="0" w:space="0" w:color="auto"/>
        <w:left w:val="none" w:sz="0" w:space="0" w:color="auto"/>
        <w:bottom w:val="none" w:sz="0" w:space="0" w:color="auto"/>
        <w:right w:val="none" w:sz="0" w:space="0" w:color="auto"/>
      </w:divBdr>
    </w:div>
    <w:div w:id="2117022972">
      <w:bodyDiv w:val="1"/>
      <w:marLeft w:val="0"/>
      <w:marRight w:val="0"/>
      <w:marTop w:val="0"/>
      <w:marBottom w:val="0"/>
      <w:divBdr>
        <w:top w:val="none" w:sz="0" w:space="0" w:color="auto"/>
        <w:left w:val="none" w:sz="0" w:space="0" w:color="auto"/>
        <w:bottom w:val="none" w:sz="0" w:space="0" w:color="auto"/>
        <w:right w:val="none" w:sz="0" w:space="0" w:color="auto"/>
      </w:divBdr>
    </w:div>
    <w:div w:id="212719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2020-05-25T08:19:00Z</dcterms:created>
  <dcterms:modified xsi:type="dcterms:W3CDTF">2020-05-25T10:02:00Z</dcterms:modified>
</cp:coreProperties>
</file>