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Lab 01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40" w:before="0" w:after="0"/>
        <w:contextualSpacing w:val="1"/>
        <w:ind w:left="72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 Draw ERDs for the following case studies: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1"/>
          <w:numId w:val="1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 study team identified a preliminary set of 11 entity types that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describe the data required by the hospital in support of the various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business functions: FACILITY, PHYSICIAN, PATIENT, DIAGNOSTIC UNIT,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WARD, STAFF, ORDER, SERVICE/ DRUG, MEDICAL/SURGICAL ITEM,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SUPPLY ITEM, and VENDOR. From discussions with hospital staff,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reviewing hospital documents, and studying existing information systems,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 study team developed a list of business rules 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44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u w:val="single"/>
          <w:rFonts w:ascii="Cambria" w:eastAsia="ＭＳ 明朝" w:hAnsi="ＭＳ 明朝" w:hint="default"/>
        </w:rPr>
        <w:t xml:space="preserve">describing the policies of the hospital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and </w:t>
      </w:r>
      <w:r>
        <w:rPr>
          <w:color w:val="auto"/>
          <w:position w:val="0"/>
          <w:sz w:val="24"/>
          <w:szCs w:val="24"/>
          <w:u w:val="single"/>
          <w:rFonts w:ascii="Cambria" w:eastAsia="ＭＳ 明朝" w:hAnsi="ＭＳ 明朝" w:hint="default"/>
        </w:rPr>
        <w:t xml:space="preserve">nature of the hospital’s </w:t>
      </w:r>
      <w:r>
        <w:rPr>
          <w:color w:val="auto"/>
          <w:position w:val="0"/>
          <w:sz w:val="24"/>
          <w:szCs w:val="24"/>
          <w:u w:val="single"/>
          <w:rFonts w:ascii="Cambria" w:eastAsia="ＭＳ 明朝" w:hAnsi="ＭＳ 明朝" w:hint="default"/>
        </w:rPr>
        <w:t xml:space="preserve">operation that govern the relationships among these entities.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Some of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these rules follow: 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FACILITY maintains one or more DIAGNOSTIC UNITs (radiology, clinical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laboratory, cardiac diagnostic unit, etc.).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FACILITY contains a number of WARDs (obstetrics, oncology, geriatrics,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etc.). 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Each WARD is assigned a certain number of STAFF members (nurses,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secretaries, etc.); a STAFF member may be assigned to multiple WARDs. 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FACILITY staffs its medical team with a number of PHYSICIANs. A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PHYSICIAN may be on the staff of more than one FACILITY. 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PHYSICIAN treats PATIENTs, and a PATIENT is treated by any number of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PHYSICIANs. 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PHYSICIAN diagnoses PATIENTs, and a PATIENT is diagnosed by any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number of PHYSICIANs.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PATIENT may be assigned to a WARD (outpatients are not assigned to a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WARD). The hospital cares only about the current WARD a patient is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assigned to (if assigned at all). 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PATIENT uses MEDICAL/SURGICAL ITEMs, which are supplied by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VENDORs. A VENDOR also provides SUPPLY ITEMs that are used for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housekeeping and maintenance purposes.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PHYSICIAN writes one or more ORDERs for a PATIENT. Each ORDER is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for a given PATIENT, and a PATIENT may have many ORDERs.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1440" w:right="0" w:hanging="36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 ORDER can be for a SERVICE such as diagnostic test (lab tests such as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lipid profile, CBC, liver function tests; diagnostic imaging such as MRIs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and X-rays) or a DRUG.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ERD diagram.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3415" cy="2671445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1676_1918384/fImage67511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2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left"/>
        <w:spacing w:lineRule="auto" w:line="240" w:before="0" w:after="0"/>
        <w:contextualSpacing w:val="1"/>
        <w:ind w:left="72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2.   For each of the descriptions below, perform the following tasks: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i. Identify the degree and cardinalities of the relationship.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ii. Express the relationships in each description graphically with a logical design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ER diagram.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left"/>
        <w:spacing w:lineRule="auto" w:line="240" w:before="0" w:after="0"/>
        <w:contextualSpacing w:val="1"/>
        <w:ind w:left="108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book is identified by its ISBN number, and it has a title, a price, and a date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of publication. It is published by a publisher, which has its own ID number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and a name. Each book has exactly one publisher, but one publisher typically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publishes multiple books over time.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041140" cy="125984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1676_1918384/fImage49411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1260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Ans:- Here it has 1 Cardinality and 2degree.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left"/>
        <w:spacing w:lineRule="auto" w:line="240" w:before="0" w:after="0"/>
        <w:contextualSpacing w:val="1"/>
        <w:ind w:left="108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piano manufacturer wants to keep track of all the pianos it makes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individually. Each piano has an identifying serial number and a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manufacturing completion date. Each instrument represents exactly one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piano model, all of which have an identification number and a name. In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addition, the company wants to maintain information about the designer of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 model. Over time, the company often manufactures thousands of pianos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of a certain model, and the model design is specified before any single piano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>exists.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Ans:-Piano Manufacturer and Piano has 1 Cardinality and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     Piano and Company has 1 Cardinality and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     Piano and Piano Model has 1 Cardinality and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     Piano and Designer has 1 Cardinality and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     Company and Designer has 1 Cardinality and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046980" cy="265176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1676_1918384/fImage1192718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652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4"/>
        </w:numPr>
        <w:jc w:val="left"/>
        <w:spacing w:lineRule="auto" w:line="240" w:before="0" w:after="0"/>
        <w:contextualSpacing w:val="1"/>
        <w:ind w:left="108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piano manufacturer (see above) employs piano technicians who are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responsible for inspecting the instruments before they are shipped to the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customers. Each piano is inspected by at least two technicians (identified by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their employee number). For each separate inspection, the company needs to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record its date and a quality evaluation grade.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mbria" w:eastAsia="ＭＳ 明朝" w:hAnsi="ＭＳ 明朝" w:hint="default"/>
        </w:rPr>
        <w:t>Ans:-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Piano Manufacturer and Piano Tecnicians has 1 Cardinality and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     Piano Technicians and Piano has 1 Cardinality and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     Inspection and Company has 1 Cardinality and 2 degree.</w:t>
      </w:r>
      <w:r>
        <w:rPr>
          <w:sz w:val="20"/>
        </w:rPr>
        <w:drawing>
          <wp:inline distT="0" distB="0" distL="0" distR="0">
            <wp:extent cx="5046980" cy="201041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1676_1918384/fImage969019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011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4"/>
        </w:numPr>
        <w:jc w:val="left"/>
        <w:spacing w:lineRule="auto" w:line="240" w:before="0" w:after="0"/>
        <w:contextualSpacing w:val="1"/>
        <w:ind w:left="108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 piano technicians (see above) have a hierarchy of reporting relationships: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Some of them have supervisory responsibilities in addition to their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inspection role and have multiple other technicians report to them. The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supervisors themselves report to the chief technician of the company.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b w:val="1"/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Ans:- </w:t>
      </w: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Piano Technicians has one Cardinality and one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211070" cy="1420495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1676_1918384/fImage26922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421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4"/>
        </w:numPr>
        <w:jc w:val="left"/>
        <w:spacing w:lineRule="auto" w:line="240" w:before="0" w:after="0"/>
        <w:contextualSpacing w:val="1"/>
        <w:ind w:left="108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 entity type STUDENT has the following attributes: Student Name,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Address, Phone, Age, Activity, and No of Years. Activity represents some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campus-based student activity, and No of Years represents the number of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years the student has engaged in this activity. A given student may engage in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more than one activity. Draw a logical ERD for this situation.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What attribute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or attributes did you designate as the identifier for the STUDENT entity? Why?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Ans i: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Each Student has its own details and not one or more Student has same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detail or We can use Student ID and make it a primary key for each Student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thus Student can identify by their ID and this ID can be their rollNo.  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Ans ii:-</w:t>
      </w: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Here it has 1 Cardinality and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736340" cy="122174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1676_1918384/fImage501213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222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4"/>
        </w:numPr>
        <w:jc w:val="left"/>
        <w:spacing w:lineRule="auto" w:line="240" w:before="0" w:after="0"/>
        <w:contextualSpacing w:val="1"/>
        <w:ind w:left="108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college course may have one or more scheduled sections or may not have a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scheduled section. Attributes of COURSE include Course ID, Course Name, and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Units. Attributes of SECTION include Section Number and Semester ID.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Semester ID is composed of two parts: Semester and Year. Section Number is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 integer (such as 1 or 2) that distinguishes one section from another for the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same course but does not uniquely identify a section.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How did you model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SECTION? Why did you choose this way versus alternative ways to model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>SECTION?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mbria" w:eastAsia="ＭＳ 明朝" w:hAnsi="ＭＳ 明朝" w:hint="default"/>
        </w:rPr>
        <w:t>Ans:-</w:t>
      </w: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 Course and Section has 1 Cardinality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Section and Semester has 1 Cardinality 2 degree.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Ans ii : </w:t>
      </w: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We model the section by defining their relashionship with Course and </w:t>
      </w: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and Semester Entity also Define their possible attributes.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We choose logical ERD way to model the Section Entity because this is the </w:t>
      </w: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easiest way to understand their properties, attributes, and relationship with </w:t>
      </w: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other entity.As this Model technique uses symbols that denotes relationships </w:t>
      </w:r>
      <w:r>
        <w:rPr>
          <w:b w:val="0"/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with one another.   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047615" cy="897890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1676_1918384/fImage692216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8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2"/>
      <w:footerReference w:type="default" r:id="rId13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ＭＳ 明朝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4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 xml:space="preserve">DWHM Labs</w:t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Cambria" w:eastAsia="ＭＳ 明朝" w:hAnsi="Cambria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1440" w:hanging="360"/>
        <w:jc w:val="both"/>
      </w:pPr>
      <w:rPr>
        <w:rFonts w:ascii="Cambria" w:eastAsia="ＭＳ 明朝" w:hAnsi="Cambria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Cambria" w:eastAsia="ＭＳ 明朝" w:hAnsi="Cambria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lowerLetter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lowerLetter"/>
      <w:start w:val="1"/>
      <w:suff w:val="tab"/>
      <w:pPr>
        <w:ind w:left="1080" w:hanging="360"/>
        <w:jc w:val="both"/>
      </w:p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mbria" w:eastAsia="ＭＳ 明朝" w:hAnsi="Cambria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Segoe UI" w:eastAsia="Segoe UI" w:hAnsi="Segoe UI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75111741.png"></Relationship><Relationship Id="rId6" Type="http://schemas.openxmlformats.org/officeDocument/2006/relationships/image" Target="media/fImage49411241.png"></Relationship><Relationship Id="rId7" Type="http://schemas.openxmlformats.org/officeDocument/2006/relationships/image" Target="media/fImage119271841.png"></Relationship><Relationship Id="rId8" Type="http://schemas.openxmlformats.org/officeDocument/2006/relationships/image" Target="media/fImage9690198467.png"></Relationship><Relationship Id="rId9" Type="http://schemas.openxmlformats.org/officeDocument/2006/relationships/image" Target="media/fImage2692206334.png"></Relationship><Relationship Id="rId10" Type="http://schemas.openxmlformats.org/officeDocument/2006/relationships/image" Target="media/fImage5012136334.png"></Relationship><Relationship Id="rId11" Type="http://schemas.openxmlformats.org/officeDocument/2006/relationships/image" Target="media/fImage6922168467.png"></Relationship><Relationship Id="rId12" Type="http://schemas.openxmlformats.org/officeDocument/2006/relationships/header" Target="header2.xml"></Relationship><Relationship Id="rId13" Type="http://schemas.openxmlformats.org/officeDocument/2006/relationships/footer" Target="footer3.xml"></Relationship><Relationship Id="rId14" Type="http://schemas.openxmlformats.org/officeDocument/2006/relationships/numbering" Target="numbering.xml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750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