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47C9" w14:textId="3D8BF8D7" w:rsidR="00842D57" w:rsidRDefault="00842D57">
      <w:pPr>
        <w:rPr>
          <w:lang w:val="en-US"/>
        </w:rPr>
      </w:pPr>
      <w:proofErr w:type="gramStart"/>
      <w:r>
        <w:rPr>
          <w:lang w:val="en-US"/>
        </w:rPr>
        <w:t>Band :</w:t>
      </w:r>
      <w:proofErr w:type="gramEnd"/>
    </w:p>
    <w:p w14:paraId="3DD62A8B" w14:textId="60F99EF2" w:rsidR="00842D57" w:rsidRDefault="00842D57">
      <w:pPr>
        <w:rPr>
          <w:lang w:val="en-US"/>
        </w:rPr>
      </w:pPr>
    </w:p>
    <w:p w14:paraId="6353A638" w14:textId="5E09A375" w:rsidR="00842D57" w:rsidRDefault="00842D57">
      <w:pPr>
        <w:rPr>
          <w:lang w:val="en-US"/>
        </w:rPr>
      </w:pPr>
      <w:r>
        <w:rPr>
          <w:lang w:val="en-US"/>
        </w:rPr>
        <w:t xml:space="preserve">Measures the weekly target </w:t>
      </w:r>
      <w:proofErr w:type="gramStart"/>
      <w:r>
        <w:rPr>
          <w:lang w:val="en-US"/>
        </w:rPr>
        <w:t>( targets</w:t>
      </w:r>
      <w:proofErr w:type="gramEnd"/>
      <w:r>
        <w:rPr>
          <w:lang w:val="en-US"/>
        </w:rPr>
        <w:t xml:space="preserve"> for entire week).</w:t>
      </w:r>
    </w:p>
    <w:p w14:paraId="32D0A46F" w14:textId="789ED466" w:rsidR="00842D57" w:rsidRDefault="00842D57">
      <w:pPr>
        <w:rPr>
          <w:lang w:val="en-US"/>
        </w:rPr>
      </w:pPr>
      <w:r>
        <w:rPr>
          <w:lang w:val="en-US"/>
        </w:rPr>
        <w:t>Calculations depends on Thursdays and Fridays.</w:t>
      </w:r>
    </w:p>
    <w:p w14:paraId="5541997E" w14:textId="66F24CBC" w:rsidR="00842D57" w:rsidRDefault="00842D57">
      <w:pPr>
        <w:rPr>
          <w:lang w:val="en-US"/>
        </w:rPr>
      </w:pPr>
      <w:r>
        <w:rPr>
          <w:lang w:val="en-US"/>
        </w:rPr>
        <w:t>Need to consider the highest high and lowest low of these 2 days as the range for the band.</w:t>
      </w:r>
    </w:p>
    <w:p w14:paraId="7876A7FA" w14:textId="7B17204C" w:rsidR="00842D57" w:rsidRDefault="00842D57">
      <w:pPr>
        <w:rPr>
          <w:lang w:val="en-US"/>
        </w:rPr>
      </w:pPr>
    </w:p>
    <w:p w14:paraId="413EF4D4" w14:textId="2CE876FD" w:rsidR="00842D57" w:rsidRDefault="00842D57">
      <w:pPr>
        <w:rPr>
          <w:lang w:val="en-US"/>
        </w:rPr>
      </w:pPr>
      <w:r>
        <w:rPr>
          <w:lang w:val="en-US"/>
        </w:rPr>
        <w:t>We can set 3 targets for buy and sell based on the difference which we get from the highs and lows.</w:t>
      </w:r>
    </w:p>
    <w:p w14:paraId="6D299E3A" w14:textId="70A7FA7F" w:rsidR="00842D57" w:rsidRDefault="00842D57">
      <w:pPr>
        <w:rPr>
          <w:lang w:val="en-US"/>
        </w:rPr>
      </w:pPr>
    </w:p>
    <w:p w14:paraId="7741DBD6" w14:textId="1D53DE2E" w:rsidR="00842D57" w:rsidRDefault="00842D57">
      <w:pPr>
        <w:rPr>
          <w:lang w:val="en-US"/>
        </w:rPr>
      </w:pPr>
      <w:r>
        <w:rPr>
          <w:lang w:val="en-US"/>
        </w:rPr>
        <w:t>Like,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19"/>
        <w:gridCol w:w="808"/>
        <w:gridCol w:w="808"/>
        <w:gridCol w:w="991"/>
        <w:gridCol w:w="1062"/>
        <w:gridCol w:w="1133"/>
        <w:gridCol w:w="710"/>
        <w:gridCol w:w="710"/>
        <w:gridCol w:w="540"/>
        <w:gridCol w:w="991"/>
      </w:tblGrid>
      <w:tr w:rsidR="00863E66" w14:paraId="744AAC29" w14:textId="5B3583F8" w:rsidTr="00863E66">
        <w:trPr>
          <w:trHeight w:val="1260"/>
        </w:trPr>
        <w:tc>
          <w:tcPr>
            <w:tcW w:w="519" w:type="dxa"/>
          </w:tcPr>
          <w:p w14:paraId="55429AA3" w14:textId="06F5B1CE" w:rsidR="00842D57" w:rsidRDefault="00842D57">
            <w:pPr>
              <w:rPr>
                <w:lang w:val="en-US"/>
              </w:rPr>
            </w:pPr>
            <w:r>
              <w:rPr>
                <w:lang w:val="en-US"/>
              </w:rPr>
              <w:t>Highest High</w:t>
            </w:r>
          </w:p>
        </w:tc>
        <w:tc>
          <w:tcPr>
            <w:tcW w:w="499" w:type="dxa"/>
          </w:tcPr>
          <w:p w14:paraId="773351B4" w14:textId="2515EA1A" w:rsidR="00842D57" w:rsidRDefault="00842D57">
            <w:pPr>
              <w:rPr>
                <w:lang w:val="en-US"/>
              </w:rPr>
            </w:pPr>
            <w:r>
              <w:rPr>
                <w:lang w:val="en-US"/>
              </w:rPr>
              <w:t>Lowest Low</w:t>
            </w:r>
          </w:p>
        </w:tc>
        <w:tc>
          <w:tcPr>
            <w:tcW w:w="651" w:type="dxa"/>
          </w:tcPr>
          <w:p w14:paraId="06D25537" w14:textId="40EED15D" w:rsidR="00842D57" w:rsidRDefault="00842D57">
            <w:pPr>
              <w:rPr>
                <w:lang w:val="en-US"/>
              </w:rPr>
            </w:pPr>
            <w:r>
              <w:rPr>
                <w:lang w:val="en-US"/>
              </w:rPr>
              <w:t>Difference</w:t>
            </w:r>
          </w:p>
        </w:tc>
        <w:tc>
          <w:tcPr>
            <w:tcW w:w="651" w:type="dxa"/>
          </w:tcPr>
          <w:p w14:paraId="4E1BC4F8" w14:textId="02C1D6D7" w:rsidR="00842D57" w:rsidRDefault="00842D57">
            <w:pPr>
              <w:rPr>
                <w:lang w:val="en-US"/>
              </w:rPr>
            </w:pPr>
            <w:r>
              <w:rPr>
                <w:lang w:val="en-US"/>
              </w:rPr>
              <w:t>Half of The Difference</w:t>
            </w:r>
          </w:p>
        </w:tc>
        <w:tc>
          <w:tcPr>
            <w:tcW w:w="799" w:type="dxa"/>
          </w:tcPr>
          <w:p w14:paraId="1A603B75" w14:textId="2CA32E05" w:rsidR="00842D57" w:rsidRDefault="00842D57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56" w:type="dxa"/>
          </w:tcPr>
          <w:p w14:paraId="78D5B76A" w14:textId="46F930B4" w:rsidR="00842D57" w:rsidRDefault="00842D57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914" w:type="dxa"/>
          </w:tcPr>
          <w:p w14:paraId="39EA5B63" w14:textId="2062A159" w:rsidR="00842D57" w:rsidRDefault="00842D57">
            <w:pPr>
              <w:rPr>
                <w:lang w:val="en-US"/>
              </w:rPr>
            </w:pPr>
            <w:r>
              <w:rPr>
                <w:lang w:val="en-US"/>
              </w:rPr>
              <w:t xml:space="preserve">B3 </w:t>
            </w:r>
          </w:p>
        </w:tc>
        <w:tc>
          <w:tcPr>
            <w:tcW w:w="572" w:type="dxa"/>
          </w:tcPr>
          <w:p w14:paraId="2AE8B13E" w14:textId="1FCBEB38" w:rsidR="00842D57" w:rsidRDefault="00842D57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572" w:type="dxa"/>
          </w:tcPr>
          <w:p w14:paraId="6EC0C4CC" w14:textId="26B8F023" w:rsidR="00842D57" w:rsidRDefault="00842D57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435" w:type="dxa"/>
          </w:tcPr>
          <w:p w14:paraId="0DF4984B" w14:textId="6D5876C2" w:rsidR="00842D57" w:rsidRDefault="00842D57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99" w:type="dxa"/>
          </w:tcPr>
          <w:p w14:paraId="2F14A5E0" w14:textId="74F05418" w:rsidR="00842D57" w:rsidRDefault="00842D57">
            <w:pPr>
              <w:rPr>
                <w:lang w:val="en-US"/>
              </w:rPr>
            </w:pPr>
            <w:r>
              <w:rPr>
                <w:lang w:val="en-US"/>
              </w:rPr>
              <w:t>Band-Mid</w:t>
            </w:r>
          </w:p>
        </w:tc>
      </w:tr>
      <w:tr w:rsidR="00863E66" w14:paraId="0209207F" w14:textId="462C419D" w:rsidTr="00863E66">
        <w:trPr>
          <w:trHeight w:val="1512"/>
        </w:trPr>
        <w:tc>
          <w:tcPr>
            <w:tcW w:w="519" w:type="dxa"/>
          </w:tcPr>
          <w:p w14:paraId="6FBB8A04" w14:textId="46532EE7" w:rsidR="00842D57" w:rsidRDefault="00842D57">
            <w:pPr>
              <w:rPr>
                <w:lang w:val="en-US"/>
              </w:rPr>
            </w:pPr>
            <w:r>
              <w:rPr>
                <w:lang w:val="en-US"/>
              </w:rPr>
              <w:t>786</w:t>
            </w:r>
          </w:p>
        </w:tc>
        <w:tc>
          <w:tcPr>
            <w:tcW w:w="499" w:type="dxa"/>
          </w:tcPr>
          <w:p w14:paraId="08AAB5AA" w14:textId="26DDB68A" w:rsidR="00842D57" w:rsidRDefault="00842D57">
            <w:pPr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651" w:type="dxa"/>
          </w:tcPr>
          <w:p w14:paraId="1807F820" w14:textId="1729B6D8" w:rsidR="00842D57" w:rsidRDefault="00863E66">
            <w:pPr>
              <w:rPr>
                <w:lang w:val="en-US"/>
              </w:rPr>
            </w:pPr>
            <w:r>
              <w:rPr>
                <w:lang w:val="en-US"/>
              </w:rPr>
              <w:t>266</w:t>
            </w:r>
          </w:p>
        </w:tc>
        <w:tc>
          <w:tcPr>
            <w:tcW w:w="651" w:type="dxa"/>
          </w:tcPr>
          <w:p w14:paraId="04C6B467" w14:textId="3D15AF9C" w:rsidR="00842D57" w:rsidRDefault="00863E66">
            <w:pPr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799" w:type="dxa"/>
          </w:tcPr>
          <w:p w14:paraId="56037F8D" w14:textId="1E5D4A27" w:rsidR="00842D57" w:rsidRDefault="00863E66">
            <w:pPr>
              <w:rPr>
                <w:lang w:val="en-US"/>
              </w:rPr>
            </w:pPr>
            <w:r>
              <w:rPr>
                <w:lang w:val="en-US"/>
              </w:rPr>
              <w:t>786+133=919</w:t>
            </w:r>
          </w:p>
        </w:tc>
        <w:tc>
          <w:tcPr>
            <w:tcW w:w="856" w:type="dxa"/>
          </w:tcPr>
          <w:p w14:paraId="5F411D89" w14:textId="441D1710" w:rsidR="00842D57" w:rsidRDefault="00863E66">
            <w:pPr>
              <w:rPr>
                <w:lang w:val="en-US"/>
              </w:rPr>
            </w:pPr>
            <w:r>
              <w:rPr>
                <w:lang w:val="en-US"/>
              </w:rPr>
              <w:t>919+133=1052</w:t>
            </w:r>
          </w:p>
        </w:tc>
        <w:tc>
          <w:tcPr>
            <w:tcW w:w="914" w:type="dxa"/>
          </w:tcPr>
          <w:p w14:paraId="6016FE63" w14:textId="33C5E92E" w:rsidR="00842D57" w:rsidRDefault="00863E66">
            <w:pPr>
              <w:rPr>
                <w:lang w:val="en-US"/>
              </w:rPr>
            </w:pPr>
            <w:r>
              <w:rPr>
                <w:lang w:val="en-US"/>
              </w:rPr>
              <w:t>1052+266=1318</w:t>
            </w:r>
          </w:p>
        </w:tc>
        <w:tc>
          <w:tcPr>
            <w:tcW w:w="572" w:type="dxa"/>
          </w:tcPr>
          <w:p w14:paraId="44E0D9D6" w14:textId="182B11ED" w:rsidR="00842D57" w:rsidRDefault="00863E66">
            <w:pPr>
              <w:rPr>
                <w:lang w:val="en-US"/>
              </w:rPr>
            </w:pPr>
            <w:r>
              <w:rPr>
                <w:lang w:val="en-US"/>
              </w:rPr>
              <w:t>520-133=387</w:t>
            </w:r>
          </w:p>
        </w:tc>
        <w:tc>
          <w:tcPr>
            <w:tcW w:w="572" w:type="dxa"/>
          </w:tcPr>
          <w:p w14:paraId="6D2A1233" w14:textId="7A9DB389" w:rsidR="00842D57" w:rsidRDefault="00863E66">
            <w:pPr>
              <w:rPr>
                <w:lang w:val="en-US"/>
              </w:rPr>
            </w:pPr>
            <w:r>
              <w:rPr>
                <w:lang w:val="en-US"/>
              </w:rPr>
              <w:t>387-133=254</w:t>
            </w:r>
          </w:p>
        </w:tc>
        <w:tc>
          <w:tcPr>
            <w:tcW w:w="435" w:type="dxa"/>
          </w:tcPr>
          <w:p w14:paraId="72116F20" w14:textId="450E2FA3" w:rsidR="00842D57" w:rsidRDefault="00863E66">
            <w:pPr>
              <w:rPr>
                <w:lang w:val="en-US"/>
              </w:rPr>
            </w:pPr>
            <w:r>
              <w:rPr>
                <w:lang w:val="en-US"/>
              </w:rPr>
              <w:t>254-266=-12</w:t>
            </w:r>
          </w:p>
        </w:tc>
        <w:tc>
          <w:tcPr>
            <w:tcW w:w="799" w:type="dxa"/>
          </w:tcPr>
          <w:p w14:paraId="778C4ED9" w14:textId="77777777" w:rsidR="00842D57" w:rsidRDefault="00863E66">
            <w:pPr>
              <w:rPr>
                <w:lang w:val="en-US"/>
              </w:rPr>
            </w:pPr>
            <w:r>
              <w:rPr>
                <w:lang w:val="en-US"/>
              </w:rPr>
              <w:t>786-133=653</w:t>
            </w:r>
          </w:p>
          <w:p w14:paraId="4C6B5DFD" w14:textId="77777777" w:rsidR="00863E66" w:rsidRDefault="00863E66">
            <w:pPr>
              <w:rPr>
                <w:lang w:val="en-US"/>
              </w:rPr>
            </w:pPr>
            <w:r>
              <w:rPr>
                <w:lang w:val="en-US"/>
              </w:rPr>
              <w:t>(or)</w:t>
            </w:r>
          </w:p>
          <w:p w14:paraId="2ADE0991" w14:textId="73BA5E34" w:rsidR="00863E66" w:rsidRDefault="00863E66">
            <w:pPr>
              <w:rPr>
                <w:lang w:val="en-US"/>
              </w:rPr>
            </w:pPr>
            <w:r>
              <w:rPr>
                <w:lang w:val="en-US"/>
              </w:rPr>
              <w:t>520+133=653</w:t>
            </w:r>
          </w:p>
        </w:tc>
      </w:tr>
      <w:tr w:rsidR="00863E66" w14:paraId="66BFC0DF" w14:textId="2321B7E0" w:rsidTr="00863E66">
        <w:trPr>
          <w:trHeight w:val="252"/>
        </w:trPr>
        <w:tc>
          <w:tcPr>
            <w:tcW w:w="519" w:type="dxa"/>
          </w:tcPr>
          <w:p w14:paraId="33306641" w14:textId="77777777" w:rsidR="00842D57" w:rsidRDefault="00842D57">
            <w:pPr>
              <w:rPr>
                <w:lang w:val="en-US"/>
              </w:rPr>
            </w:pPr>
          </w:p>
        </w:tc>
        <w:tc>
          <w:tcPr>
            <w:tcW w:w="499" w:type="dxa"/>
          </w:tcPr>
          <w:p w14:paraId="62CF9558" w14:textId="77777777" w:rsidR="00842D57" w:rsidRDefault="00842D57">
            <w:pPr>
              <w:rPr>
                <w:lang w:val="en-US"/>
              </w:rPr>
            </w:pPr>
          </w:p>
        </w:tc>
        <w:tc>
          <w:tcPr>
            <w:tcW w:w="651" w:type="dxa"/>
          </w:tcPr>
          <w:p w14:paraId="50A1379F" w14:textId="77777777" w:rsidR="00842D57" w:rsidRDefault="00842D57">
            <w:pPr>
              <w:rPr>
                <w:lang w:val="en-US"/>
              </w:rPr>
            </w:pPr>
          </w:p>
        </w:tc>
        <w:tc>
          <w:tcPr>
            <w:tcW w:w="651" w:type="dxa"/>
          </w:tcPr>
          <w:p w14:paraId="53DFA2C1" w14:textId="77777777" w:rsidR="00842D57" w:rsidRDefault="00842D57">
            <w:pPr>
              <w:rPr>
                <w:lang w:val="en-US"/>
              </w:rPr>
            </w:pPr>
          </w:p>
        </w:tc>
        <w:tc>
          <w:tcPr>
            <w:tcW w:w="799" w:type="dxa"/>
          </w:tcPr>
          <w:p w14:paraId="4573B7B4" w14:textId="77777777" w:rsidR="00842D57" w:rsidRDefault="00842D57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035B5C52" w14:textId="77777777" w:rsidR="00842D57" w:rsidRDefault="00842D57">
            <w:pPr>
              <w:rPr>
                <w:lang w:val="en-US"/>
              </w:rPr>
            </w:pPr>
          </w:p>
        </w:tc>
        <w:tc>
          <w:tcPr>
            <w:tcW w:w="914" w:type="dxa"/>
          </w:tcPr>
          <w:p w14:paraId="62F166CA" w14:textId="77777777" w:rsidR="00842D57" w:rsidRDefault="00842D57">
            <w:pPr>
              <w:rPr>
                <w:lang w:val="en-US"/>
              </w:rPr>
            </w:pPr>
          </w:p>
        </w:tc>
        <w:tc>
          <w:tcPr>
            <w:tcW w:w="572" w:type="dxa"/>
          </w:tcPr>
          <w:p w14:paraId="239F8893" w14:textId="77777777" w:rsidR="00842D57" w:rsidRDefault="00842D57">
            <w:pPr>
              <w:rPr>
                <w:lang w:val="en-US"/>
              </w:rPr>
            </w:pPr>
          </w:p>
        </w:tc>
        <w:tc>
          <w:tcPr>
            <w:tcW w:w="572" w:type="dxa"/>
          </w:tcPr>
          <w:p w14:paraId="62014BA4" w14:textId="0111D185" w:rsidR="00842D57" w:rsidRDefault="00842D57">
            <w:pPr>
              <w:rPr>
                <w:lang w:val="en-US"/>
              </w:rPr>
            </w:pPr>
          </w:p>
        </w:tc>
        <w:tc>
          <w:tcPr>
            <w:tcW w:w="435" w:type="dxa"/>
          </w:tcPr>
          <w:p w14:paraId="53B0850A" w14:textId="77777777" w:rsidR="00842D57" w:rsidRDefault="00842D57">
            <w:pPr>
              <w:rPr>
                <w:lang w:val="en-US"/>
              </w:rPr>
            </w:pPr>
          </w:p>
        </w:tc>
        <w:tc>
          <w:tcPr>
            <w:tcW w:w="799" w:type="dxa"/>
          </w:tcPr>
          <w:p w14:paraId="5F97C8B1" w14:textId="77777777" w:rsidR="00842D57" w:rsidRDefault="00842D57">
            <w:pPr>
              <w:rPr>
                <w:lang w:val="en-US"/>
              </w:rPr>
            </w:pPr>
          </w:p>
        </w:tc>
      </w:tr>
    </w:tbl>
    <w:p w14:paraId="357F3C64" w14:textId="5D8FC97E" w:rsidR="00842D57" w:rsidRDefault="00842D57">
      <w:pPr>
        <w:rPr>
          <w:lang w:val="en-US"/>
        </w:rPr>
      </w:pPr>
    </w:p>
    <w:p w14:paraId="7031C182" w14:textId="3FD99728" w:rsidR="00863E66" w:rsidRDefault="00863E66">
      <w:pPr>
        <w:rPr>
          <w:lang w:val="en-US"/>
        </w:rPr>
      </w:pPr>
    </w:p>
    <w:p w14:paraId="1988A7FC" w14:textId="427FBBF7" w:rsidR="00863E66" w:rsidRDefault="00863E66">
      <w:pPr>
        <w:rPr>
          <w:lang w:val="en-US"/>
        </w:rPr>
      </w:pPr>
      <w:r>
        <w:rPr>
          <w:lang w:val="en-US"/>
        </w:rPr>
        <w:t>Based on above calculations we are setting targets,</w:t>
      </w:r>
    </w:p>
    <w:p w14:paraId="395AD93C" w14:textId="69A988E0" w:rsidR="00863E66" w:rsidRDefault="00863E66">
      <w:pPr>
        <w:rPr>
          <w:lang w:val="en-US"/>
        </w:rPr>
      </w:pPr>
      <w:r>
        <w:rPr>
          <w:lang w:val="en-US"/>
        </w:rPr>
        <w:t xml:space="preserve">Band mid </w:t>
      </w:r>
      <w:r w:rsidR="00964E6D">
        <w:rPr>
          <w:lang w:val="en-US"/>
        </w:rPr>
        <w:t>gives us a hint of</w:t>
      </w:r>
      <w:r>
        <w:rPr>
          <w:lang w:val="en-US"/>
        </w:rPr>
        <w:t xml:space="preserve"> the trend.</w:t>
      </w:r>
    </w:p>
    <w:p w14:paraId="500FB889" w14:textId="06274DFE" w:rsidR="00964E6D" w:rsidRDefault="00964E6D">
      <w:pPr>
        <w:rPr>
          <w:lang w:val="en-US"/>
        </w:rPr>
      </w:pPr>
    </w:p>
    <w:p w14:paraId="2CE7C42B" w14:textId="60EE9AB1" w:rsidR="00964E6D" w:rsidRDefault="00964E6D">
      <w:pPr>
        <w:rPr>
          <w:lang w:val="en-US"/>
        </w:rPr>
      </w:pPr>
      <w:r>
        <w:rPr>
          <w:lang w:val="en-US"/>
        </w:rPr>
        <w:t>If the Opening price of the week is above the mid-</w:t>
      </w:r>
      <w:r w:rsidR="0059511B">
        <w:rPr>
          <w:lang w:val="en-US"/>
        </w:rPr>
        <w:t>band,</w:t>
      </w:r>
      <w:r>
        <w:rPr>
          <w:lang w:val="en-US"/>
        </w:rPr>
        <w:t xml:space="preserve"> then is a bullish trend, or if the opening price is below the mid-</w:t>
      </w:r>
      <w:r w:rsidR="0059511B">
        <w:rPr>
          <w:lang w:val="en-US"/>
        </w:rPr>
        <w:t>band,</w:t>
      </w:r>
      <w:r>
        <w:rPr>
          <w:lang w:val="en-US"/>
        </w:rPr>
        <w:t xml:space="preserve"> then it’s a bearish trend. </w:t>
      </w:r>
    </w:p>
    <w:p w14:paraId="7712BBAE" w14:textId="24B6FE38" w:rsidR="00964E6D" w:rsidRDefault="00964E6D">
      <w:pPr>
        <w:rPr>
          <w:lang w:val="en-US"/>
        </w:rPr>
      </w:pPr>
    </w:p>
    <w:p w14:paraId="1B437580" w14:textId="268ECFF2" w:rsidR="00964E6D" w:rsidRDefault="00964E6D">
      <w:pPr>
        <w:rPr>
          <w:lang w:val="en-US"/>
        </w:rPr>
      </w:pPr>
      <w:r>
        <w:rPr>
          <w:lang w:val="en-US"/>
        </w:rPr>
        <w:t>But if the opening price is near to the mid-band, we need to consider-</w:t>
      </w:r>
    </w:p>
    <w:p w14:paraId="0E3E1B1B" w14:textId="3CB168B2" w:rsidR="00964E6D" w:rsidRDefault="00964E6D">
      <w:pPr>
        <w:rPr>
          <w:lang w:val="en-US"/>
        </w:rPr>
      </w:pPr>
      <w:r>
        <w:rPr>
          <w:lang w:val="en-US"/>
        </w:rPr>
        <w:t>If the opening candle is at/near to the mid-</w:t>
      </w:r>
      <w:r w:rsidR="0059511B">
        <w:rPr>
          <w:lang w:val="en-US"/>
        </w:rPr>
        <w:t>band then</w:t>
      </w:r>
      <w:r>
        <w:rPr>
          <w:lang w:val="en-US"/>
        </w:rPr>
        <w:t xml:space="preserve"> look at the next candle if it closes below th</w:t>
      </w:r>
      <w:r w:rsidR="0059511B">
        <w:rPr>
          <w:lang w:val="en-US"/>
        </w:rPr>
        <w:t>e low of the opening candle then its bearish trend or if it closes above the high of the opening candle then it’s a bullish trend.</w:t>
      </w:r>
    </w:p>
    <w:p w14:paraId="7D0A39D2" w14:textId="0C59203C" w:rsidR="0059511B" w:rsidRDefault="0059511B">
      <w:pPr>
        <w:rPr>
          <w:lang w:val="en-US"/>
        </w:rPr>
      </w:pPr>
    </w:p>
    <w:p w14:paraId="5236437C" w14:textId="5F9DBBA9" w:rsidR="0059511B" w:rsidRDefault="0059511B">
      <w:pPr>
        <w:rPr>
          <w:lang w:val="en-US"/>
        </w:rPr>
      </w:pPr>
      <w:r>
        <w:rPr>
          <w:lang w:val="en-US"/>
        </w:rPr>
        <w:t>NOTE:</w:t>
      </w:r>
    </w:p>
    <w:p w14:paraId="4135284C" w14:textId="23086FA2" w:rsidR="0059511B" w:rsidRPr="0059511B" w:rsidRDefault="0059511B" w:rsidP="0059511B">
      <w:pPr>
        <w:pStyle w:val="ListParagraph"/>
        <w:numPr>
          <w:ilvl w:val="0"/>
          <w:numId w:val="1"/>
        </w:numPr>
        <w:rPr>
          <w:lang w:val="en-US"/>
        </w:rPr>
      </w:pPr>
      <w:r w:rsidRPr="0059511B">
        <w:rPr>
          <w:lang w:val="en-US"/>
        </w:rPr>
        <w:t xml:space="preserve">If band difference is big -more </w:t>
      </w:r>
      <w:proofErr w:type="gramStart"/>
      <w:r w:rsidRPr="0059511B">
        <w:rPr>
          <w:lang w:val="en-US"/>
        </w:rPr>
        <w:t>volatile ,</w:t>
      </w:r>
      <w:proofErr w:type="gramEnd"/>
      <w:r w:rsidRPr="0059511B">
        <w:rPr>
          <w:lang w:val="en-US"/>
        </w:rPr>
        <w:t xml:space="preserve"> if band difference is less – can expect big moves/candles.</w:t>
      </w:r>
    </w:p>
    <w:p w14:paraId="56845428" w14:textId="2D3A9D0F" w:rsidR="0059511B" w:rsidRDefault="0059511B" w:rsidP="00595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candle closes</w:t>
      </w:r>
      <w:r w:rsidR="006C28C4">
        <w:rPr>
          <w:lang w:val="en-US"/>
        </w:rPr>
        <w:t xml:space="preserve"> above </w:t>
      </w:r>
      <w:proofErr w:type="gramStart"/>
      <w:r w:rsidR="006C28C4">
        <w:rPr>
          <w:lang w:val="en-US"/>
        </w:rPr>
        <w:t xml:space="preserve">the </w:t>
      </w:r>
      <w:r>
        <w:rPr>
          <w:lang w:val="en-US"/>
        </w:rPr>
        <w:t xml:space="preserve"> band’s</w:t>
      </w:r>
      <w:proofErr w:type="gramEnd"/>
      <w:r>
        <w:rPr>
          <w:lang w:val="en-US"/>
        </w:rPr>
        <w:t xml:space="preserve"> high or</w:t>
      </w:r>
      <w:r w:rsidR="006C28C4">
        <w:rPr>
          <w:lang w:val="en-US"/>
        </w:rPr>
        <w:t xml:space="preserve"> below the band’s</w:t>
      </w:r>
      <w:r>
        <w:rPr>
          <w:lang w:val="en-US"/>
        </w:rPr>
        <w:t xml:space="preserve"> low, and next candle did not success</w:t>
      </w:r>
      <w:r w:rsidR="006C28C4">
        <w:rPr>
          <w:lang w:val="en-US"/>
        </w:rPr>
        <w:t>fully cross the band and closes within the band then  there is no confirmation for trend to sustain above or below the band</w:t>
      </w:r>
    </w:p>
    <w:p w14:paraId="608018E2" w14:textId="1BBFC736" w:rsidR="006C28C4" w:rsidRDefault="006C28C4" w:rsidP="00595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consider alphabets, when </w:t>
      </w:r>
      <w:proofErr w:type="gramStart"/>
      <w:r w:rsidR="00287514">
        <w:rPr>
          <w:lang w:val="en-US"/>
        </w:rPr>
        <w:t xml:space="preserve">in </w:t>
      </w:r>
      <w:r>
        <w:rPr>
          <w:lang w:val="en-US"/>
        </w:rPr>
        <w:t xml:space="preserve"> band</w:t>
      </w:r>
      <w:proofErr w:type="gramEnd"/>
      <w:r>
        <w:rPr>
          <w:lang w:val="en-US"/>
        </w:rPr>
        <w:t>.</w:t>
      </w:r>
    </w:p>
    <w:p w14:paraId="1647A6F2" w14:textId="274A2F1F" w:rsidR="006C28C4" w:rsidRDefault="006C28C4" w:rsidP="00595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Opening of the week candle opens at 2 or 3</w:t>
      </w:r>
      <w:r w:rsidRPr="006C28C4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target ,</w:t>
      </w:r>
      <w:proofErr w:type="gramEnd"/>
      <w:r>
        <w:rPr>
          <w:lang w:val="en-US"/>
        </w:rPr>
        <w:t xml:space="preserve"> we cannot be sure that it might continue the same trend in such case we need to consider other factors to ensure on the trend.</w:t>
      </w:r>
      <w:r>
        <w:rPr>
          <w:lang w:val="en-US"/>
        </w:rPr>
        <w:br/>
      </w:r>
    </w:p>
    <w:p w14:paraId="63FE7D32" w14:textId="3515C533" w:rsidR="00287514" w:rsidRDefault="00287514" w:rsidP="00287514">
      <w:pPr>
        <w:pStyle w:val="ListParagraph"/>
        <w:rPr>
          <w:lang w:val="en-US"/>
        </w:rPr>
      </w:pPr>
    </w:p>
    <w:p w14:paraId="1F3B0DCC" w14:textId="378CFD89" w:rsidR="00287514" w:rsidRDefault="00287514" w:rsidP="00287514">
      <w:pPr>
        <w:pStyle w:val="ListParagraph"/>
        <w:rPr>
          <w:lang w:val="en-US"/>
        </w:rPr>
      </w:pPr>
    </w:p>
    <w:p w14:paraId="36E753FA" w14:textId="6E30A547" w:rsidR="00287514" w:rsidRDefault="00287514" w:rsidP="00287514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5B419585" w14:textId="7E11EB8D" w:rsidR="00287514" w:rsidRDefault="00287514" w:rsidP="00287514">
      <w:pPr>
        <w:pStyle w:val="ListParagraph"/>
        <w:rPr>
          <w:lang w:val="en-US"/>
        </w:rPr>
      </w:pPr>
    </w:p>
    <w:p w14:paraId="10867111" w14:textId="204380B3" w:rsidR="00287514" w:rsidRDefault="00287514" w:rsidP="00287514">
      <w:pPr>
        <w:pStyle w:val="ListParagraph"/>
        <w:rPr>
          <w:lang w:val="en-US"/>
        </w:rPr>
      </w:pPr>
      <w:proofErr w:type="spellStart"/>
      <w:r>
        <w:rPr>
          <w:lang w:val="en-US"/>
        </w:rPr>
        <w:t>BankNifty</w:t>
      </w:r>
      <w:proofErr w:type="spellEnd"/>
      <w:r>
        <w:rPr>
          <w:lang w:val="en-US"/>
        </w:rPr>
        <w:t>- march 10&amp;11</w:t>
      </w:r>
    </w:p>
    <w:p w14:paraId="58AD0C7F" w14:textId="01C54A31" w:rsidR="00287514" w:rsidRDefault="00287514" w:rsidP="00287514">
      <w:pPr>
        <w:pStyle w:val="ListParagraph"/>
        <w:rPr>
          <w:lang w:val="en-US"/>
        </w:rPr>
      </w:pPr>
    </w:p>
    <w:p w14:paraId="08BBFC6A" w14:textId="47A64F46" w:rsidR="00287514" w:rsidRDefault="00287514" w:rsidP="00287514">
      <w:pPr>
        <w:pStyle w:val="ListParagraph"/>
        <w:rPr>
          <w:lang w:val="en-US"/>
        </w:rPr>
      </w:pPr>
    </w:p>
    <w:p w14:paraId="0CAE15A8" w14:textId="59FA3355" w:rsidR="00287514" w:rsidRDefault="00287514" w:rsidP="0028751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903BB0" wp14:editId="38483502">
            <wp:extent cx="5731510" cy="2988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407" cy="299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26CC" w14:textId="77777777" w:rsidR="00287514" w:rsidRPr="0059511B" w:rsidRDefault="00287514" w:rsidP="00287514">
      <w:pPr>
        <w:pStyle w:val="ListParagraph"/>
        <w:rPr>
          <w:lang w:val="en-US"/>
        </w:rPr>
      </w:pPr>
    </w:p>
    <w:p w14:paraId="77B47501" w14:textId="1281BD6C" w:rsidR="00842D57" w:rsidRDefault="00842D57">
      <w:pPr>
        <w:rPr>
          <w:lang w:val="en-US"/>
        </w:rPr>
      </w:pPr>
    </w:p>
    <w:p w14:paraId="690317F3" w14:textId="50223F26" w:rsidR="008D745B" w:rsidRDefault="008D745B">
      <w:pPr>
        <w:rPr>
          <w:lang w:val="en-US"/>
        </w:rPr>
      </w:pPr>
      <w:proofErr w:type="spellStart"/>
      <w:r>
        <w:rPr>
          <w:lang w:val="en-US"/>
        </w:rPr>
        <w:t>BankNifty</w:t>
      </w:r>
      <w:proofErr w:type="spellEnd"/>
      <w:r>
        <w:rPr>
          <w:lang w:val="en-US"/>
        </w:rPr>
        <w:t>: march 3&amp;4</w:t>
      </w:r>
    </w:p>
    <w:p w14:paraId="4CDD7A08" w14:textId="679F6DF4" w:rsidR="008D745B" w:rsidRDefault="008D745B">
      <w:pPr>
        <w:rPr>
          <w:lang w:val="en-US"/>
        </w:rPr>
      </w:pPr>
    </w:p>
    <w:p w14:paraId="6A4A1CCE" w14:textId="14E7D8E2" w:rsidR="008D745B" w:rsidRDefault="008D74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7A498A" wp14:editId="7447BB80">
            <wp:extent cx="5731510" cy="3589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2108" w14:textId="2497FBF6" w:rsidR="008809AE" w:rsidRDefault="008809AE">
      <w:pPr>
        <w:rPr>
          <w:lang w:val="en-US"/>
        </w:rPr>
      </w:pPr>
    </w:p>
    <w:p w14:paraId="75A9CDDA" w14:textId="5E5452A5" w:rsidR="008809AE" w:rsidRPr="00842D57" w:rsidRDefault="008809AE">
      <w:pPr>
        <w:rPr>
          <w:lang w:val="en-US"/>
        </w:rPr>
      </w:pPr>
      <w:r>
        <w:rPr>
          <w:lang w:val="en-US"/>
        </w:rPr>
        <w:t>Double bottom has been formed on 8</w:t>
      </w:r>
      <w:r w:rsidRPr="008809AE">
        <w:rPr>
          <w:vertAlign w:val="superscript"/>
          <w:lang w:val="en-US"/>
        </w:rPr>
        <w:t>th</w:t>
      </w:r>
      <w:r>
        <w:rPr>
          <w:lang w:val="en-US"/>
        </w:rPr>
        <w:t xml:space="preserve"> march.</w:t>
      </w:r>
    </w:p>
    <w:sectPr w:rsidR="008809AE" w:rsidRPr="0084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03D9"/>
    <w:multiLevelType w:val="hybridMultilevel"/>
    <w:tmpl w:val="A2EA7F22"/>
    <w:lvl w:ilvl="0" w:tplc="4D680CCE">
      <w:start w:val="78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57"/>
    <w:rsid w:val="00287514"/>
    <w:rsid w:val="0059511B"/>
    <w:rsid w:val="006C28C4"/>
    <w:rsid w:val="00842D57"/>
    <w:rsid w:val="00863E66"/>
    <w:rsid w:val="008809AE"/>
    <w:rsid w:val="008D745B"/>
    <w:rsid w:val="0096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FE80A"/>
  <w15:chartTrackingRefBased/>
  <w15:docId w15:val="{54019719-F0D0-3348-92AB-0A9CE43D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D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5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2022-03-15T16:12:00Z</dcterms:created>
  <dcterms:modified xsi:type="dcterms:W3CDTF">2022-03-15T16:53:00Z</dcterms:modified>
</cp:coreProperties>
</file>