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CAF9EDF" w14:textId="2AEE0C23" w:rsidR="00536707" w:rsidRDefault="003D0378" w:rsidP="003D0378">
      <w:pPr>
        <w:pStyle w:val="Title"/>
        <w:jc w:val="center"/>
        <w:rPr>
          <w:rFonts w:ascii="Times New Roman" w:hAnsi="Times New Roman" w:cs="Times New Roman"/>
          <w:sz w:val="96"/>
          <w:szCs w:val="96"/>
        </w:rPr>
      </w:pPr>
      <w:r w:rsidRPr="003D0378">
        <w:rPr>
          <w:rFonts w:ascii="Times New Roman" w:hAnsi="Times New Roman" w:cs="Times New Roman"/>
          <w:sz w:val="96"/>
          <w:szCs w:val="96"/>
        </w:rPr>
        <w:t>FIM 548 Monte Carlo Simulations and Methods</w:t>
      </w:r>
    </w:p>
    <w:p w14:paraId="0954705D" w14:textId="77777777" w:rsidR="003D0378" w:rsidRPr="003D0378" w:rsidRDefault="003D0378" w:rsidP="003D0378"/>
    <w:p w14:paraId="7AB4F039" w14:textId="07674481" w:rsidR="003D0378" w:rsidRDefault="003D0378" w:rsidP="003D0378">
      <w:pPr>
        <w:pStyle w:val="Title"/>
        <w:jc w:val="center"/>
        <w:rPr>
          <w:rFonts w:ascii="Times New Roman" w:hAnsi="Times New Roman" w:cs="Times New Roman"/>
        </w:rPr>
      </w:pPr>
      <w:r w:rsidRPr="003D0378">
        <w:rPr>
          <w:rFonts w:ascii="Times New Roman" w:hAnsi="Times New Roman" w:cs="Times New Roman"/>
        </w:rPr>
        <w:t>Final Research Project</w:t>
      </w:r>
    </w:p>
    <w:p w14:paraId="1FBBBC7E" w14:textId="77777777" w:rsidR="003D0378" w:rsidRPr="003D0378" w:rsidRDefault="003D0378" w:rsidP="003D0378"/>
    <w:p w14:paraId="4726C7D7" w14:textId="003AE706" w:rsidR="003D0378" w:rsidRDefault="003D0378" w:rsidP="003D0378">
      <w:pPr>
        <w:pStyle w:val="Title"/>
        <w:jc w:val="center"/>
        <w:rPr>
          <w:rFonts w:ascii="Times New Roman" w:hAnsi="Times New Roman" w:cs="Times New Roman"/>
          <w:sz w:val="72"/>
          <w:szCs w:val="72"/>
        </w:rPr>
      </w:pPr>
      <w:r w:rsidRPr="003D0378">
        <w:rPr>
          <w:rFonts w:ascii="Times New Roman" w:hAnsi="Times New Roman" w:cs="Times New Roman"/>
          <w:sz w:val="72"/>
          <w:szCs w:val="72"/>
        </w:rPr>
        <w:t xml:space="preserve">Fixed Income Product Pricing </w:t>
      </w:r>
      <w:r>
        <w:rPr>
          <w:rFonts w:ascii="Times New Roman" w:hAnsi="Times New Roman" w:cs="Times New Roman"/>
          <w:sz w:val="72"/>
          <w:szCs w:val="72"/>
        </w:rPr>
        <w:t xml:space="preserve">- </w:t>
      </w:r>
      <w:r w:rsidRPr="003D0378">
        <w:rPr>
          <w:rFonts w:ascii="Times New Roman" w:hAnsi="Times New Roman" w:cs="Times New Roman"/>
          <w:sz w:val="72"/>
          <w:szCs w:val="72"/>
        </w:rPr>
        <w:t xml:space="preserve">Black </w:t>
      </w:r>
      <w:proofErr w:type="spellStart"/>
      <w:r w:rsidRPr="003D0378">
        <w:rPr>
          <w:rFonts w:ascii="Times New Roman" w:hAnsi="Times New Roman" w:cs="Times New Roman"/>
          <w:sz w:val="72"/>
          <w:szCs w:val="72"/>
        </w:rPr>
        <w:t>Derman</w:t>
      </w:r>
      <w:proofErr w:type="spellEnd"/>
      <w:r w:rsidRPr="003D0378">
        <w:rPr>
          <w:rFonts w:ascii="Times New Roman" w:hAnsi="Times New Roman" w:cs="Times New Roman"/>
          <w:sz w:val="72"/>
          <w:szCs w:val="72"/>
        </w:rPr>
        <w:t xml:space="preserve"> Toy Model</w:t>
      </w:r>
    </w:p>
    <w:p w14:paraId="6EBD7BF6" w14:textId="764981B4" w:rsidR="003D0378" w:rsidRDefault="003D0378" w:rsidP="003D0378"/>
    <w:p w14:paraId="7D01CFD9" w14:textId="48815D62" w:rsidR="003D0378" w:rsidRDefault="003D0378" w:rsidP="003D0378"/>
    <w:p w14:paraId="25E85092" w14:textId="5C67ADF4" w:rsidR="003D0378" w:rsidRDefault="003D0378" w:rsidP="003D0378"/>
    <w:p w14:paraId="159805AB" w14:textId="041E2D38" w:rsidR="003D0378" w:rsidRDefault="003D0378" w:rsidP="003D0378"/>
    <w:p w14:paraId="14B96462" w14:textId="274CCF6E" w:rsidR="003D0378" w:rsidRDefault="003D0378" w:rsidP="003D0378"/>
    <w:p w14:paraId="48BE81E8" w14:textId="4F8A7E0B" w:rsidR="003D0378" w:rsidRDefault="003D0378" w:rsidP="003D0378"/>
    <w:p w14:paraId="0F1240E5" w14:textId="77777777" w:rsidR="003D0378" w:rsidRDefault="003D0378" w:rsidP="003D0378"/>
    <w:p w14:paraId="265DE801" w14:textId="7B9A4414" w:rsidR="003D0378" w:rsidRDefault="003D0378" w:rsidP="003D0378"/>
    <w:p w14:paraId="6832ABAC" w14:textId="25CD1B66" w:rsidR="003D0378" w:rsidRDefault="003D0378" w:rsidP="003D0378">
      <w:pPr>
        <w:pStyle w:val="Title"/>
        <w:jc w:val="center"/>
      </w:pPr>
      <w:r>
        <w:t>Siddharth Thakur</w:t>
      </w:r>
    </w:p>
    <w:p w14:paraId="48A0E60F" w14:textId="2353FD14" w:rsidR="003D0378" w:rsidRDefault="003D0378" w:rsidP="003D0378">
      <w:pPr>
        <w:pStyle w:val="Heading1"/>
      </w:pPr>
      <w:bookmarkStart w:id="0" w:name="_Toc102219558"/>
      <w:r>
        <w:lastRenderedPageBreak/>
        <w:t>Introduction</w:t>
      </w:r>
      <w:bookmarkEnd w:id="0"/>
      <w:r>
        <w:t xml:space="preserve"> </w:t>
      </w:r>
    </w:p>
    <w:p w14:paraId="6820AABA" w14:textId="48427FD4" w:rsidR="003D0378" w:rsidRDefault="003D0378" w:rsidP="003D0378"/>
    <w:p w14:paraId="033F131E" w14:textId="19614195" w:rsidR="003D0378" w:rsidRDefault="00CD015F" w:rsidP="00C57939">
      <w:r>
        <w:t xml:space="preserve">This report describes the final research project done for the FIM548 course. </w:t>
      </w:r>
      <w:r w:rsidR="003D0378">
        <w:t>Th</w:t>
      </w:r>
      <w:r>
        <w:t>e</w:t>
      </w:r>
      <w:r w:rsidR="003D0378">
        <w:t xml:space="preserve"> </w:t>
      </w:r>
      <w:r w:rsidR="00C57939">
        <w:t xml:space="preserve">project is aimed at pricing fixed income product (Swaption) using a short interest rate stochastic model. These models </w:t>
      </w:r>
      <w:r w:rsidR="00C57939" w:rsidRPr="00C57939">
        <w:t xml:space="preserve">that describes the future evolution of interest rates by describing the future evolution of the short rate, usually </w:t>
      </w:r>
      <w:proofErr w:type="gramStart"/>
      <w:r w:rsidR="00C57939" w:rsidRPr="00C57939">
        <w:t xml:space="preserve">written </w:t>
      </w:r>
      <w:r w:rsidR="00C57939">
        <w:t xml:space="preserve"> r</w:t>
      </w:r>
      <w:r w:rsidR="00C57939" w:rsidRPr="00C57939">
        <w:rPr>
          <w:vertAlign w:val="subscript"/>
        </w:rPr>
        <w:t>t</w:t>
      </w:r>
      <w:r w:rsidR="00C57939">
        <w:t>.</w:t>
      </w:r>
      <w:proofErr w:type="gramEnd"/>
      <w:r w:rsidR="00C57939">
        <w:t xml:space="preserve"> </w:t>
      </w:r>
    </w:p>
    <w:p w14:paraId="33D35274" w14:textId="4D69827B" w:rsidR="008D011A" w:rsidRDefault="00C57939" w:rsidP="00C57939">
      <w:r>
        <w:t xml:space="preserve">This project aims to calibrate the Black </w:t>
      </w:r>
      <w:proofErr w:type="spellStart"/>
      <w:r>
        <w:t>Derman</w:t>
      </w:r>
      <w:proofErr w:type="spellEnd"/>
      <w:r>
        <w:t xml:space="preserve"> Toy model using current treasury yield data</w:t>
      </w:r>
      <w:r w:rsidR="008D011A">
        <w:t>. The model has the following equation.</w:t>
      </w:r>
    </w:p>
    <w:p w14:paraId="63BF7628" w14:textId="7CCDEFF7" w:rsidR="008D011A" w:rsidRDefault="008D011A" w:rsidP="00C57939">
      <m:oMathPara>
        <m:oMath>
          <m:r>
            <w:rPr>
              <w:rFonts w:ascii="Cambria Math" w:hAnsi="Cambria Math"/>
            </w:rPr>
            <m:t>dlog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t</m:t>
              </m:r>
            </m:e>
            <m:sub/>
          </m:sSub>
          <m:r>
            <w:rPr>
              <w:rFonts w:ascii="Cambria Math" w:hAnsi="Cambria Math"/>
            </w:rPr>
            <m:t>+ σd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m:oMathPara>
    </w:p>
    <w:p w14:paraId="70908514" w14:textId="78373CFB" w:rsidR="008D011A" w:rsidRDefault="008D011A" w:rsidP="00C57939">
      <w:r>
        <w:t xml:space="preserve">This is a log normal version of the Ho Lee model which is widely used in the industry. </w:t>
      </w:r>
    </w:p>
    <w:p w14:paraId="3A440413" w14:textId="25B13EF1" w:rsidR="00C57939" w:rsidRDefault="008D011A" w:rsidP="00C57939">
      <w:r>
        <w:t xml:space="preserve">This project first models this </w:t>
      </w:r>
      <w:r w:rsidR="000F5294">
        <w:t>equation, calibrates its parameters</w:t>
      </w:r>
      <w:r w:rsidR="00C57939">
        <w:t xml:space="preserve"> </w:t>
      </w:r>
      <w:r w:rsidR="000F5294">
        <w:t xml:space="preserve">by fitting the current </w:t>
      </w:r>
      <w:proofErr w:type="gramStart"/>
      <w:r w:rsidR="000F5294">
        <w:t>zero coupon</w:t>
      </w:r>
      <w:proofErr w:type="gramEnd"/>
      <w:r w:rsidR="000F5294">
        <w:t xml:space="preserve"> bond prices in the market. Once these are fitted/calibrated, this model can be used to project interest rates in the future. </w:t>
      </w:r>
      <w:r>
        <w:t xml:space="preserve"> </w:t>
      </w:r>
      <w:r w:rsidR="000F5294">
        <w:t xml:space="preserve"> These rates can then be used to model the prices of </w:t>
      </w:r>
      <w:r w:rsidR="00C829F9">
        <w:t xml:space="preserve">Bonds and other interest rate derivatives. </w:t>
      </w:r>
    </w:p>
    <w:p w14:paraId="200419A0" w14:textId="09E1209E" w:rsidR="001E481C" w:rsidRDefault="001E481C"/>
    <w:p w14:paraId="1CAD12B6" w14:textId="36B38445" w:rsidR="001E481C" w:rsidRDefault="001E481C"/>
    <w:p w14:paraId="1FE60EBB" w14:textId="77777777" w:rsidR="001E481C" w:rsidRDefault="001E481C"/>
    <w:p w14:paraId="3A5599AB" w14:textId="2C0DA9BD" w:rsidR="001E481C" w:rsidRDefault="001E481C" w:rsidP="001E481C">
      <w:pPr>
        <w:pStyle w:val="Heading1"/>
      </w:pPr>
      <w:r>
        <w:t>Contents of the report</w:t>
      </w:r>
    </w:p>
    <w:p w14:paraId="31E2A69D" w14:textId="5857C60C" w:rsidR="001E481C" w:rsidRDefault="001E481C">
      <w:pPr>
        <w:rPr>
          <w:noProof/>
        </w:rPr>
      </w:pPr>
      <w:r>
        <w:fldChar w:fldCharType="begin"/>
      </w:r>
      <w:r>
        <w:instrText xml:space="preserve"> TOC \o "1-4" \h \z \u </w:instrText>
      </w:r>
      <w:r>
        <w:fldChar w:fldCharType="separate"/>
      </w:r>
    </w:p>
    <w:p w14:paraId="5F1EB5C4" w14:textId="3068B93C" w:rsidR="001E481C" w:rsidRDefault="001E481C">
      <w:pPr>
        <w:pStyle w:val="TOC1"/>
        <w:tabs>
          <w:tab w:val="right" w:leader="dot" w:pos="9350"/>
        </w:tabs>
        <w:rPr>
          <w:noProof/>
        </w:rPr>
      </w:pPr>
      <w:hyperlink w:anchor="_Toc102219558" w:history="1">
        <w:r w:rsidRPr="00B70252">
          <w:rPr>
            <w:rStyle w:val="Hyperlink"/>
            <w:noProof/>
          </w:rPr>
          <w:t>Introduction</w:t>
        </w:r>
        <w:r>
          <w:rPr>
            <w:noProof/>
            <w:webHidden/>
          </w:rPr>
          <w:tab/>
        </w:r>
        <w:r>
          <w:rPr>
            <w:noProof/>
            <w:webHidden/>
          </w:rPr>
          <w:fldChar w:fldCharType="begin"/>
        </w:r>
        <w:r>
          <w:rPr>
            <w:noProof/>
            <w:webHidden/>
          </w:rPr>
          <w:instrText xml:space="preserve"> PAGEREF _Toc102219558 \h </w:instrText>
        </w:r>
        <w:r>
          <w:rPr>
            <w:noProof/>
            <w:webHidden/>
          </w:rPr>
        </w:r>
        <w:r>
          <w:rPr>
            <w:noProof/>
            <w:webHidden/>
          </w:rPr>
          <w:fldChar w:fldCharType="separate"/>
        </w:r>
        <w:r w:rsidR="005A61A8">
          <w:rPr>
            <w:noProof/>
            <w:webHidden/>
          </w:rPr>
          <w:t>2</w:t>
        </w:r>
        <w:r>
          <w:rPr>
            <w:noProof/>
            <w:webHidden/>
          </w:rPr>
          <w:fldChar w:fldCharType="end"/>
        </w:r>
      </w:hyperlink>
    </w:p>
    <w:p w14:paraId="38300D26" w14:textId="092DFF5F" w:rsidR="001E481C" w:rsidRDefault="001E481C">
      <w:pPr>
        <w:pStyle w:val="TOC1"/>
        <w:tabs>
          <w:tab w:val="right" w:leader="dot" w:pos="9350"/>
        </w:tabs>
        <w:rPr>
          <w:noProof/>
        </w:rPr>
      </w:pPr>
      <w:hyperlink w:anchor="_Toc102219559" w:history="1">
        <w:r w:rsidRPr="00B70252">
          <w:rPr>
            <w:rStyle w:val="Hyperlink"/>
            <w:noProof/>
          </w:rPr>
          <w:t>Black Derman Toy Model</w:t>
        </w:r>
        <w:r>
          <w:rPr>
            <w:noProof/>
            <w:webHidden/>
          </w:rPr>
          <w:tab/>
        </w:r>
        <w:r>
          <w:rPr>
            <w:noProof/>
            <w:webHidden/>
          </w:rPr>
          <w:fldChar w:fldCharType="begin"/>
        </w:r>
        <w:r>
          <w:rPr>
            <w:noProof/>
            <w:webHidden/>
          </w:rPr>
          <w:instrText xml:space="preserve"> PAGEREF _Toc102219559 \h </w:instrText>
        </w:r>
        <w:r>
          <w:rPr>
            <w:noProof/>
            <w:webHidden/>
          </w:rPr>
        </w:r>
        <w:r>
          <w:rPr>
            <w:noProof/>
            <w:webHidden/>
          </w:rPr>
          <w:fldChar w:fldCharType="separate"/>
        </w:r>
        <w:r w:rsidR="005A61A8">
          <w:rPr>
            <w:noProof/>
            <w:webHidden/>
          </w:rPr>
          <w:t>3</w:t>
        </w:r>
        <w:r>
          <w:rPr>
            <w:noProof/>
            <w:webHidden/>
          </w:rPr>
          <w:fldChar w:fldCharType="end"/>
        </w:r>
      </w:hyperlink>
    </w:p>
    <w:p w14:paraId="267548B1" w14:textId="5EFE03C5" w:rsidR="001E481C" w:rsidRDefault="001E481C">
      <w:pPr>
        <w:pStyle w:val="TOC1"/>
        <w:tabs>
          <w:tab w:val="right" w:leader="dot" w:pos="9350"/>
        </w:tabs>
        <w:rPr>
          <w:noProof/>
        </w:rPr>
      </w:pPr>
      <w:hyperlink w:anchor="_Toc102219560" w:history="1">
        <w:r w:rsidRPr="00B70252">
          <w:rPr>
            <w:rStyle w:val="Hyperlink"/>
            <w:noProof/>
          </w:rPr>
          <w:t>Model Calibration</w:t>
        </w:r>
        <w:r>
          <w:rPr>
            <w:noProof/>
            <w:webHidden/>
          </w:rPr>
          <w:tab/>
        </w:r>
        <w:r>
          <w:rPr>
            <w:noProof/>
            <w:webHidden/>
          </w:rPr>
          <w:fldChar w:fldCharType="begin"/>
        </w:r>
        <w:r>
          <w:rPr>
            <w:noProof/>
            <w:webHidden/>
          </w:rPr>
          <w:instrText xml:space="preserve"> PAGEREF _Toc102219560 \h </w:instrText>
        </w:r>
        <w:r>
          <w:rPr>
            <w:noProof/>
            <w:webHidden/>
          </w:rPr>
        </w:r>
        <w:r>
          <w:rPr>
            <w:noProof/>
            <w:webHidden/>
          </w:rPr>
          <w:fldChar w:fldCharType="separate"/>
        </w:r>
        <w:r w:rsidR="005A61A8">
          <w:rPr>
            <w:noProof/>
            <w:webHidden/>
          </w:rPr>
          <w:t>3</w:t>
        </w:r>
        <w:r>
          <w:rPr>
            <w:noProof/>
            <w:webHidden/>
          </w:rPr>
          <w:fldChar w:fldCharType="end"/>
        </w:r>
      </w:hyperlink>
    </w:p>
    <w:p w14:paraId="7C7278A0" w14:textId="210B2562" w:rsidR="001E481C" w:rsidRDefault="001E481C">
      <w:pPr>
        <w:pStyle w:val="TOC2"/>
        <w:tabs>
          <w:tab w:val="right" w:leader="dot" w:pos="9350"/>
        </w:tabs>
        <w:rPr>
          <w:noProof/>
          <w:sz w:val="22"/>
          <w:szCs w:val="22"/>
        </w:rPr>
      </w:pPr>
      <w:hyperlink w:anchor="_Toc102219561" w:history="1">
        <w:r w:rsidRPr="00B70252">
          <w:rPr>
            <w:rStyle w:val="Hyperlink"/>
            <w:noProof/>
          </w:rPr>
          <w:t>SDE solution for Equation</w:t>
        </w:r>
        <w:r>
          <w:rPr>
            <w:noProof/>
            <w:webHidden/>
          </w:rPr>
          <w:tab/>
        </w:r>
        <w:r>
          <w:rPr>
            <w:noProof/>
            <w:webHidden/>
          </w:rPr>
          <w:fldChar w:fldCharType="begin"/>
        </w:r>
        <w:r>
          <w:rPr>
            <w:noProof/>
            <w:webHidden/>
          </w:rPr>
          <w:instrText xml:space="preserve"> PAGEREF _Toc102219561 \h </w:instrText>
        </w:r>
        <w:r>
          <w:rPr>
            <w:noProof/>
            <w:webHidden/>
          </w:rPr>
        </w:r>
        <w:r>
          <w:rPr>
            <w:noProof/>
            <w:webHidden/>
          </w:rPr>
          <w:fldChar w:fldCharType="separate"/>
        </w:r>
        <w:r w:rsidR="005A61A8">
          <w:rPr>
            <w:noProof/>
            <w:webHidden/>
          </w:rPr>
          <w:t>3</w:t>
        </w:r>
        <w:r>
          <w:rPr>
            <w:noProof/>
            <w:webHidden/>
          </w:rPr>
          <w:fldChar w:fldCharType="end"/>
        </w:r>
      </w:hyperlink>
    </w:p>
    <w:p w14:paraId="4E8A9985" w14:textId="4DC57DEB" w:rsidR="001E481C" w:rsidRDefault="001E481C">
      <w:pPr>
        <w:pStyle w:val="TOC2"/>
        <w:tabs>
          <w:tab w:val="right" w:leader="dot" w:pos="9350"/>
        </w:tabs>
        <w:rPr>
          <w:noProof/>
          <w:sz w:val="22"/>
          <w:szCs w:val="22"/>
        </w:rPr>
      </w:pPr>
      <w:hyperlink w:anchor="_Toc102219562" w:history="1">
        <w:r w:rsidRPr="00B70252">
          <w:rPr>
            <w:rStyle w:val="Hyperlink"/>
            <w:noProof/>
          </w:rPr>
          <w:t>Treasury Yields and Bootstrapping</w:t>
        </w:r>
        <w:r>
          <w:rPr>
            <w:noProof/>
            <w:webHidden/>
          </w:rPr>
          <w:tab/>
        </w:r>
        <w:r>
          <w:rPr>
            <w:noProof/>
            <w:webHidden/>
          </w:rPr>
          <w:fldChar w:fldCharType="begin"/>
        </w:r>
        <w:r>
          <w:rPr>
            <w:noProof/>
            <w:webHidden/>
          </w:rPr>
          <w:instrText xml:space="preserve"> PAGEREF _Toc102219562 \h </w:instrText>
        </w:r>
        <w:r>
          <w:rPr>
            <w:noProof/>
            <w:webHidden/>
          </w:rPr>
        </w:r>
        <w:r>
          <w:rPr>
            <w:noProof/>
            <w:webHidden/>
          </w:rPr>
          <w:fldChar w:fldCharType="separate"/>
        </w:r>
        <w:r w:rsidR="005A61A8">
          <w:rPr>
            <w:noProof/>
            <w:webHidden/>
          </w:rPr>
          <w:t>5</w:t>
        </w:r>
        <w:r>
          <w:rPr>
            <w:noProof/>
            <w:webHidden/>
          </w:rPr>
          <w:fldChar w:fldCharType="end"/>
        </w:r>
      </w:hyperlink>
    </w:p>
    <w:p w14:paraId="363065D9" w14:textId="3DA5C415" w:rsidR="001E481C" w:rsidRDefault="001E481C">
      <w:pPr>
        <w:pStyle w:val="TOC1"/>
        <w:tabs>
          <w:tab w:val="right" w:leader="dot" w:pos="9350"/>
        </w:tabs>
        <w:rPr>
          <w:noProof/>
        </w:rPr>
      </w:pPr>
      <w:hyperlink w:anchor="_Toc102219563" w:history="1">
        <w:r w:rsidRPr="00B70252">
          <w:rPr>
            <w:rStyle w:val="Hyperlink"/>
            <w:noProof/>
          </w:rPr>
          <w:t>Swaptions</w:t>
        </w:r>
        <w:r>
          <w:rPr>
            <w:noProof/>
            <w:webHidden/>
          </w:rPr>
          <w:tab/>
        </w:r>
        <w:r>
          <w:rPr>
            <w:noProof/>
            <w:webHidden/>
          </w:rPr>
          <w:fldChar w:fldCharType="begin"/>
        </w:r>
        <w:r>
          <w:rPr>
            <w:noProof/>
            <w:webHidden/>
          </w:rPr>
          <w:instrText xml:space="preserve"> PAGEREF _Toc102219563 \h </w:instrText>
        </w:r>
        <w:r>
          <w:rPr>
            <w:noProof/>
            <w:webHidden/>
          </w:rPr>
        </w:r>
        <w:r>
          <w:rPr>
            <w:noProof/>
            <w:webHidden/>
          </w:rPr>
          <w:fldChar w:fldCharType="separate"/>
        </w:r>
        <w:r w:rsidR="005A61A8">
          <w:rPr>
            <w:noProof/>
            <w:webHidden/>
          </w:rPr>
          <w:t>5</w:t>
        </w:r>
        <w:r>
          <w:rPr>
            <w:noProof/>
            <w:webHidden/>
          </w:rPr>
          <w:fldChar w:fldCharType="end"/>
        </w:r>
      </w:hyperlink>
    </w:p>
    <w:p w14:paraId="79C00A33" w14:textId="565280DE" w:rsidR="001E481C" w:rsidRDefault="001E481C">
      <w:pPr>
        <w:pStyle w:val="TOC1"/>
        <w:tabs>
          <w:tab w:val="right" w:leader="dot" w:pos="9350"/>
        </w:tabs>
        <w:rPr>
          <w:noProof/>
        </w:rPr>
      </w:pPr>
      <w:hyperlink w:anchor="_Toc102219564" w:history="1">
        <w:r w:rsidRPr="00B70252">
          <w:rPr>
            <w:rStyle w:val="Hyperlink"/>
            <w:noProof/>
          </w:rPr>
          <w:t>Results</w:t>
        </w:r>
        <w:r>
          <w:rPr>
            <w:noProof/>
            <w:webHidden/>
          </w:rPr>
          <w:tab/>
        </w:r>
        <w:r>
          <w:rPr>
            <w:noProof/>
            <w:webHidden/>
          </w:rPr>
          <w:fldChar w:fldCharType="begin"/>
        </w:r>
        <w:r>
          <w:rPr>
            <w:noProof/>
            <w:webHidden/>
          </w:rPr>
          <w:instrText xml:space="preserve"> PAGEREF _Toc102219564 \h </w:instrText>
        </w:r>
        <w:r>
          <w:rPr>
            <w:noProof/>
            <w:webHidden/>
          </w:rPr>
        </w:r>
        <w:r>
          <w:rPr>
            <w:noProof/>
            <w:webHidden/>
          </w:rPr>
          <w:fldChar w:fldCharType="separate"/>
        </w:r>
        <w:r w:rsidR="005A61A8">
          <w:rPr>
            <w:noProof/>
            <w:webHidden/>
          </w:rPr>
          <w:t>7</w:t>
        </w:r>
        <w:r>
          <w:rPr>
            <w:noProof/>
            <w:webHidden/>
          </w:rPr>
          <w:fldChar w:fldCharType="end"/>
        </w:r>
      </w:hyperlink>
    </w:p>
    <w:p w14:paraId="57543499" w14:textId="01E2FB5D" w:rsidR="001E481C" w:rsidRDefault="001E481C">
      <w:pPr>
        <w:pStyle w:val="TOC2"/>
        <w:tabs>
          <w:tab w:val="right" w:leader="dot" w:pos="9350"/>
        </w:tabs>
        <w:rPr>
          <w:noProof/>
          <w:sz w:val="22"/>
          <w:szCs w:val="22"/>
        </w:rPr>
      </w:pPr>
      <w:hyperlink w:anchor="_Toc102219565" w:history="1">
        <w:r w:rsidRPr="00B70252">
          <w:rPr>
            <w:rStyle w:val="Hyperlink"/>
            <w:noProof/>
          </w:rPr>
          <w:t>Bootstrapping results</w:t>
        </w:r>
        <w:r>
          <w:rPr>
            <w:noProof/>
            <w:webHidden/>
          </w:rPr>
          <w:tab/>
        </w:r>
        <w:r>
          <w:rPr>
            <w:noProof/>
            <w:webHidden/>
          </w:rPr>
          <w:fldChar w:fldCharType="begin"/>
        </w:r>
        <w:r>
          <w:rPr>
            <w:noProof/>
            <w:webHidden/>
          </w:rPr>
          <w:instrText xml:space="preserve"> PAGEREF _Toc102219565 \h </w:instrText>
        </w:r>
        <w:r>
          <w:rPr>
            <w:noProof/>
            <w:webHidden/>
          </w:rPr>
        </w:r>
        <w:r>
          <w:rPr>
            <w:noProof/>
            <w:webHidden/>
          </w:rPr>
          <w:fldChar w:fldCharType="separate"/>
        </w:r>
        <w:r w:rsidR="005A61A8">
          <w:rPr>
            <w:noProof/>
            <w:webHidden/>
          </w:rPr>
          <w:t>7</w:t>
        </w:r>
        <w:r>
          <w:rPr>
            <w:noProof/>
            <w:webHidden/>
          </w:rPr>
          <w:fldChar w:fldCharType="end"/>
        </w:r>
      </w:hyperlink>
    </w:p>
    <w:p w14:paraId="5472A4FA" w14:textId="3AB2EF11" w:rsidR="001E481C" w:rsidRDefault="001E481C">
      <w:pPr>
        <w:pStyle w:val="TOC2"/>
        <w:tabs>
          <w:tab w:val="right" w:leader="dot" w:pos="9350"/>
        </w:tabs>
        <w:rPr>
          <w:noProof/>
          <w:sz w:val="22"/>
          <w:szCs w:val="22"/>
        </w:rPr>
      </w:pPr>
      <w:hyperlink w:anchor="_Toc102219566" w:history="1">
        <w:r w:rsidRPr="00B70252">
          <w:rPr>
            <w:rStyle w:val="Hyperlink"/>
            <w:noProof/>
          </w:rPr>
          <w:t>Calibration results</w:t>
        </w:r>
        <w:r>
          <w:rPr>
            <w:noProof/>
            <w:webHidden/>
          </w:rPr>
          <w:tab/>
        </w:r>
        <w:r>
          <w:rPr>
            <w:noProof/>
            <w:webHidden/>
          </w:rPr>
          <w:fldChar w:fldCharType="begin"/>
        </w:r>
        <w:r>
          <w:rPr>
            <w:noProof/>
            <w:webHidden/>
          </w:rPr>
          <w:instrText xml:space="preserve"> PAGEREF _Toc102219566 \h </w:instrText>
        </w:r>
        <w:r>
          <w:rPr>
            <w:noProof/>
            <w:webHidden/>
          </w:rPr>
        </w:r>
        <w:r>
          <w:rPr>
            <w:noProof/>
            <w:webHidden/>
          </w:rPr>
          <w:fldChar w:fldCharType="separate"/>
        </w:r>
        <w:r w:rsidR="005A61A8">
          <w:rPr>
            <w:noProof/>
            <w:webHidden/>
          </w:rPr>
          <w:t>7</w:t>
        </w:r>
        <w:r>
          <w:rPr>
            <w:noProof/>
            <w:webHidden/>
          </w:rPr>
          <w:fldChar w:fldCharType="end"/>
        </w:r>
      </w:hyperlink>
    </w:p>
    <w:p w14:paraId="4D2FEB07" w14:textId="3B5B18E2" w:rsidR="001E481C" w:rsidRDefault="001E481C">
      <w:pPr>
        <w:pStyle w:val="TOC2"/>
        <w:tabs>
          <w:tab w:val="right" w:leader="dot" w:pos="9350"/>
        </w:tabs>
        <w:rPr>
          <w:noProof/>
          <w:sz w:val="22"/>
          <w:szCs w:val="22"/>
        </w:rPr>
      </w:pPr>
      <w:hyperlink w:anchor="_Toc102219567" w:history="1">
        <w:r w:rsidRPr="00B70252">
          <w:rPr>
            <w:rStyle w:val="Hyperlink"/>
            <w:noProof/>
          </w:rPr>
          <w:t>Swaption Valuation</w:t>
        </w:r>
        <w:r>
          <w:rPr>
            <w:noProof/>
            <w:webHidden/>
          </w:rPr>
          <w:tab/>
        </w:r>
        <w:r>
          <w:rPr>
            <w:noProof/>
            <w:webHidden/>
          </w:rPr>
          <w:fldChar w:fldCharType="begin"/>
        </w:r>
        <w:r>
          <w:rPr>
            <w:noProof/>
            <w:webHidden/>
          </w:rPr>
          <w:instrText xml:space="preserve"> PAGEREF _Toc102219567 \h </w:instrText>
        </w:r>
        <w:r>
          <w:rPr>
            <w:noProof/>
            <w:webHidden/>
          </w:rPr>
        </w:r>
        <w:r>
          <w:rPr>
            <w:noProof/>
            <w:webHidden/>
          </w:rPr>
          <w:fldChar w:fldCharType="separate"/>
        </w:r>
        <w:r w:rsidR="005A61A8">
          <w:rPr>
            <w:noProof/>
            <w:webHidden/>
          </w:rPr>
          <w:t>8</w:t>
        </w:r>
        <w:r>
          <w:rPr>
            <w:noProof/>
            <w:webHidden/>
          </w:rPr>
          <w:fldChar w:fldCharType="end"/>
        </w:r>
      </w:hyperlink>
    </w:p>
    <w:p w14:paraId="42584E13" w14:textId="2D6EC3C7" w:rsidR="001E481C" w:rsidRDefault="001E481C">
      <w:pPr>
        <w:pStyle w:val="TOC1"/>
        <w:tabs>
          <w:tab w:val="right" w:leader="dot" w:pos="9350"/>
        </w:tabs>
        <w:rPr>
          <w:noProof/>
        </w:rPr>
      </w:pPr>
      <w:hyperlink w:anchor="_Toc102219568" w:history="1">
        <w:r w:rsidRPr="00B70252">
          <w:rPr>
            <w:rStyle w:val="Hyperlink"/>
            <w:noProof/>
          </w:rPr>
          <w:t>Appendix</w:t>
        </w:r>
        <w:r>
          <w:rPr>
            <w:noProof/>
            <w:webHidden/>
          </w:rPr>
          <w:tab/>
        </w:r>
        <w:r>
          <w:rPr>
            <w:noProof/>
            <w:webHidden/>
          </w:rPr>
          <w:fldChar w:fldCharType="begin"/>
        </w:r>
        <w:r>
          <w:rPr>
            <w:noProof/>
            <w:webHidden/>
          </w:rPr>
          <w:instrText xml:space="preserve"> PAGEREF _Toc102219568 \h </w:instrText>
        </w:r>
        <w:r>
          <w:rPr>
            <w:noProof/>
            <w:webHidden/>
          </w:rPr>
        </w:r>
        <w:r>
          <w:rPr>
            <w:noProof/>
            <w:webHidden/>
          </w:rPr>
          <w:fldChar w:fldCharType="separate"/>
        </w:r>
        <w:r w:rsidR="005A61A8">
          <w:rPr>
            <w:noProof/>
            <w:webHidden/>
          </w:rPr>
          <w:t>9</w:t>
        </w:r>
        <w:r>
          <w:rPr>
            <w:noProof/>
            <w:webHidden/>
          </w:rPr>
          <w:fldChar w:fldCharType="end"/>
        </w:r>
      </w:hyperlink>
    </w:p>
    <w:p w14:paraId="50B80345" w14:textId="39E0F0E0" w:rsidR="001E481C" w:rsidRDefault="001E481C">
      <w:pPr>
        <w:pStyle w:val="TOC2"/>
        <w:tabs>
          <w:tab w:val="right" w:leader="dot" w:pos="9350"/>
        </w:tabs>
        <w:rPr>
          <w:noProof/>
          <w:sz w:val="22"/>
          <w:szCs w:val="22"/>
        </w:rPr>
      </w:pPr>
      <w:hyperlink w:anchor="_Toc102219569" w:history="1">
        <w:r w:rsidRPr="00B70252">
          <w:rPr>
            <w:rStyle w:val="Hyperlink"/>
            <w:noProof/>
          </w:rPr>
          <w:t>References</w:t>
        </w:r>
        <w:r>
          <w:rPr>
            <w:noProof/>
            <w:webHidden/>
          </w:rPr>
          <w:tab/>
        </w:r>
        <w:r>
          <w:rPr>
            <w:noProof/>
            <w:webHidden/>
          </w:rPr>
          <w:fldChar w:fldCharType="begin"/>
        </w:r>
        <w:r>
          <w:rPr>
            <w:noProof/>
            <w:webHidden/>
          </w:rPr>
          <w:instrText xml:space="preserve"> PAGEREF _Toc102219569 \h </w:instrText>
        </w:r>
        <w:r>
          <w:rPr>
            <w:noProof/>
            <w:webHidden/>
          </w:rPr>
        </w:r>
        <w:r>
          <w:rPr>
            <w:noProof/>
            <w:webHidden/>
          </w:rPr>
          <w:fldChar w:fldCharType="separate"/>
        </w:r>
        <w:r w:rsidR="005A61A8">
          <w:rPr>
            <w:noProof/>
            <w:webHidden/>
          </w:rPr>
          <w:t>9</w:t>
        </w:r>
        <w:r>
          <w:rPr>
            <w:noProof/>
            <w:webHidden/>
          </w:rPr>
          <w:fldChar w:fldCharType="end"/>
        </w:r>
      </w:hyperlink>
    </w:p>
    <w:p w14:paraId="7BEA63A7" w14:textId="34581321" w:rsidR="00A44C5B" w:rsidRDefault="001E481C">
      <w:r>
        <w:fldChar w:fldCharType="end"/>
      </w:r>
    </w:p>
    <w:p w14:paraId="50C9AC1C" w14:textId="77777777" w:rsidR="001E481C" w:rsidRDefault="001E481C">
      <w:pPr>
        <w:rPr>
          <w:smallCaps/>
          <w:spacing w:val="5"/>
          <w:sz w:val="32"/>
          <w:szCs w:val="32"/>
        </w:rPr>
      </w:pPr>
      <w:bookmarkStart w:id="1" w:name="_Toc102219559"/>
      <w:r>
        <w:br w:type="page"/>
      </w:r>
    </w:p>
    <w:p w14:paraId="4E913650" w14:textId="69FAACF2" w:rsidR="00A44C5B" w:rsidRDefault="00A44C5B" w:rsidP="00A44C5B">
      <w:pPr>
        <w:pStyle w:val="Heading1"/>
      </w:pPr>
      <w:r>
        <w:lastRenderedPageBreak/>
        <w:t xml:space="preserve">Black </w:t>
      </w:r>
      <w:proofErr w:type="spellStart"/>
      <w:r>
        <w:t>Derman</w:t>
      </w:r>
      <w:proofErr w:type="spellEnd"/>
      <w:r>
        <w:t xml:space="preserve"> Toy Model</w:t>
      </w:r>
      <w:bookmarkEnd w:id="1"/>
    </w:p>
    <w:p w14:paraId="29ED38EA" w14:textId="0CAD29C0" w:rsidR="00A44C5B" w:rsidRDefault="00A44C5B" w:rsidP="00A44C5B"/>
    <w:p w14:paraId="6A275BD3" w14:textId="4EF2D0BB" w:rsidR="00A44C5B" w:rsidRDefault="00921090" w:rsidP="00A44C5B">
      <w:r>
        <w:t xml:space="preserve">In 1990, Black, </w:t>
      </w:r>
      <w:proofErr w:type="spellStart"/>
      <w:r>
        <w:t>Derman</w:t>
      </w:r>
      <w:proofErr w:type="spellEnd"/>
      <w:r>
        <w:t>, and Toy proposed a binomial-tree model for a lognormal short-rate process</w:t>
      </w:r>
      <w:proofErr w:type="gramStart"/>
      <w:r>
        <w:t>. .</w:t>
      </w:r>
      <w:proofErr w:type="gramEnd"/>
      <w:r>
        <w:t xml:space="preserve"> It can be shown that the stochastic process corresponding to the model is:</w:t>
      </w:r>
    </w:p>
    <w:p w14:paraId="640F3CE9" w14:textId="582FFF74" w:rsidR="00921090" w:rsidRPr="00921090" w:rsidRDefault="00921090" w:rsidP="00921090">
      <m:oMathPara>
        <m:oMath>
          <m:r>
            <w:rPr>
              <w:rFonts w:ascii="Cambria Math" w:hAnsi="Cambria Math"/>
            </w:rPr>
            <m:t>dlog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-a</m:t>
              </m:r>
              <m:d>
                <m:dPr>
                  <m:ctrlPr>
                    <w:rPr>
                      <w:rFonts w:ascii="Cambria Math" w:hAnsi="Cambria Math"/>
                      <w:i/>
                    </w:rPr>
                  </m:ctrlPr>
                </m:dPr>
                <m:e>
                  <m:r>
                    <w:rPr>
                      <w:rFonts w:ascii="Cambria Math" w:hAnsi="Cambria Math"/>
                    </w:rPr>
                    <m:t>t</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m:rPr>
                  <m:sty m:val="p"/>
                </m:rPr>
                <w:rPr>
                  <w:rFonts w:ascii="Cambria Math" w:hAnsi="Cambria Math"/>
                </w:rPr>
                <m:t>)⁡dt</m:t>
              </m:r>
            </m:e>
            <m:sub/>
          </m:sSub>
          <m:r>
            <w:rPr>
              <w:rFonts w:ascii="Cambria Math" w:hAnsi="Cambria Math"/>
            </w:rPr>
            <m:t>+ σd</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oMath>
      </m:oMathPara>
    </w:p>
    <w:p w14:paraId="6F0D1C7C" w14:textId="7E70679A" w:rsidR="00921090" w:rsidRPr="00921090" w:rsidRDefault="00921090" w:rsidP="00921090">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14:paraId="543E6BE0" w14:textId="700757CF" w:rsidR="00921090" w:rsidRDefault="00921090" w:rsidP="00A44C5B">
      <w:r>
        <w:t xml:space="preserve">where </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is the derivative of </w:t>
      </w:r>
      <m:oMath>
        <m:r>
          <w:rPr>
            <w:rFonts w:ascii="Cambria Math" w:hAnsi="Cambria Math"/>
          </w:rPr>
          <m:t xml:space="preserve"> </m:t>
        </m:r>
        <m:sSup>
          <m:sSupPr>
            <m:ctrlPr>
              <w:rPr>
                <w:rFonts w:ascii="Cambria Math" w:hAnsi="Cambria Math"/>
                <w:i/>
              </w:rPr>
            </m:ctrlPr>
          </m:sSupPr>
          <m:e>
            <m:r>
              <w:rPr>
                <w:rFonts w:ascii="Cambria Math" w:hAnsi="Cambria Math"/>
              </w:rPr>
              <m:t>σ</m:t>
            </m:r>
          </m:e>
          <m:sup/>
        </m:sSup>
      </m:oMath>
      <w:r>
        <w:t xml:space="preserve"> with respect to </w:t>
      </w:r>
      <w:proofErr w:type="gramStart"/>
      <w:r>
        <w:t>t.</w:t>
      </w:r>
      <w:proofErr w:type="gramEnd"/>
      <w:r>
        <w:t xml:space="preserve"> This model has the advantage over Ho–Lee and Hull–White that the interest rate cannot become negative. The Wiener process </w:t>
      </w:r>
      <w:proofErr w:type="spellStart"/>
      <w:r>
        <w:t>dz</w:t>
      </w:r>
      <w:proofErr w:type="spellEnd"/>
      <w:r>
        <w:t xml:space="preserve"> can cause </w:t>
      </w:r>
      <w:proofErr w:type="spellStart"/>
      <w:r w:rsidR="002F7EFF">
        <w:t>logr</w:t>
      </w:r>
      <w:r w:rsidR="002F7EFF" w:rsidRPr="002F7EFF">
        <w:rPr>
          <w:vertAlign w:val="subscript"/>
        </w:rPr>
        <w:t>t</w:t>
      </w:r>
      <w:proofErr w:type="spellEnd"/>
      <w:r>
        <w:t xml:space="preserve"> to be negative, but r itself is always positive. One disadvantage of the model is that there are no analytic properties.</w:t>
      </w:r>
      <w:r w:rsidR="002F7EFF">
        <w:t xml:space="preserve"> A more serious disadvantage is that the way the tree is constructed imposes a relationship between the volatility parameter </w:t>
      </w:r>
      <w:r w:rsidR="002F7EFF">
        <w:rPr>
          <w:rFonts w:cstheme="minorHAnsi"/>
        </w:rPr>
        <w:t>σ(t)</w:t>
      </w:r>
      <w:r w:rsidR="002F7EFF">
        <w:t xml:space="preserve"> and the reversion rate parameter a(t). The reversion rate is positive only if the volatility of the short rate is a decreasing function of time.</w:t>
      </w:r>
    </w:p>
    <w:p w14:paraId="324D4F75" w14:textId="656AF842" w:rsidR="002F7EFF" w:rsidRDefault="002F7EFF" w:rsidP="00A44C5B">
      <w:r>
        <w:t xml:space="preserve">In practice, the most useful version of the model is when </w:t>
      </w:r>
      <w:r>
        <w:rPr>
          <w:rFonts w:cstheme="minorHAnsi"/>
        </w:rPr>
        <w:t>σ</w:t>
      </w:r>
      <w:r>
        <w:t xml:space="preserve"> is constant. The parameter a is then zero, so that there is no mean </w:t>
      </w:r>
      <w:r w:rsidR="00185101">
        <w:t>reversion,</w:t>
      </w:r>
      <w:r>
        <w:t xml:space="preserve"> and the model reduces to</w:t>
      </w:r>
    </w:p>
    <w:p w14:paraId="699936C0" w14:textId="38E1848C" w:rsidR="002F7EFF" w:rsidRPr="002F7EFF" w:rsidRDefault="002F7EFF" w:rsidP="00A44C5B">
      <m:oMathPara>
        <m:oMath>
          <m:r>
            <w:rPr>
              <w:rFonts w:ascii="Cambria Math" w:hAnsi="Cambria Math"/>
            </w:rPr>
            <m:t>dlog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t</m:t>
              </m:r>
            </m:e>
            <m:sub/>
          </m:sSub>
          <m:r>
            <w:rPr>
              <w:rFonts w:ascii="Cambria Math" w:hAnsi="Cambria Math"/>
            </w:rPr>
            <m:t>+ 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78D96C4" w14:textId="2BE4A8B8" w:rsidR="002F7EFF" w:rsidRDefault="002F7EFF" w:rsidP="00A44C5B">
      <w:r>
        <w:t xml:space="preserve">This can be characterized as a lognormal version of the Ho–Lee model. </w:t>
      </w:r>
    </w:p>
    <w:p w14:paraId="00C09045" w14:textId="6505367E" w:rsidR="002F7EFF" w:rsidRDefault="00D41B4E" w:rsidP="00A44C5B">
      <w:r>
        <w:t xml:space="preserve">This model is used to model the short rates and hence the future interest rates. </w:t>
      </w:r>
      <w:r w:rsidR="00144602">
        <w:t xml:space="preserve">However, due to its form, there are no analytical versions of the closed form equations that can be used to value bonds. </w:t>
      </w:r>
    </w:p>
    <w:p w14:paraId="2EFFF19C" w14:textId="7E295369" w:rsidR="00D41B4E" w:rsidRDefault="00D41B4E" w:rsidP="00A44C5B"/>
    <w:p w14:paraId="1271E8AB" w14:textId="506B373C" w:rsidR="00D41B4E" w:rsidRDefault="00144602" w:rsidP="00D41B4E">
      <w:pPr>
        <w:pStyle w:val="Heading1"/>
      </w:pPr>
      <w:bookmarkStart w:id="2" w:name="_Toc102219560"/>
      <w:r>
        <w:t>Model Calibration</w:t>
      </w:r>
      <w:bookmarkEnd w:id="2"/>
      <w:r>
        <w:t xml:space="preserve"> </w:t>
      </w:r>
    </w:p>
    <w:p w14:paraId="7FE12AF5" w14:textId="045DCEBA" w:rsidR="00571803" w:rsidRDefault="00571803" w:rsidP="00144602">
      <w:r>
        <w:t xml:space="preserve">The Black </w:t>
      </w:r>
      <w:proofErr w:type="spellStart"/>
      <w:r>
        <w:t>Derman</w:t>
      </w:r>
      <w:proofErr w:type="spellEnd"/>
      <w:r>
        <w:t xml:space="preserve"> Toy model was originally introduced as a binomial tree model. In this report, the model has been implemented using the Monte Carlo method and discounted cashflow methodology. </w:t>
      </w:r>
      <w:r w:rsidR="00074844">
        <w:t xml:space="preserve">As part of this method, the model was implemented using the </w:t>
      </w:r>
      <w:r w:rsidR="00185101">
        <w:t>Euler</w:t>
      </w:r>
      <w:r w:rsidR="00074844">
        <w:t xml:space="preserve"> discretization method of the closed form solution of equation. </w:t>
      </w:r>
    </w:p>
    <w:p w14:paraId="48745F77" w14:textId="337F3C69" w:rsidR="00074844" w:rsidRDefault="00074844" w:rsidP="00144602"/>
    <w:p w14:paraId="333D5C5D" w14:textId="584CA13C" w:rsidR="00074844" w:rsidRPr="00144602" w:rsidRDefault="00074844" w:rsidP="00074844">
      <w:pPr>
        <w:pStyle w:val="Heading2"/>
      </w:pPr>
      <w:bookmarkStart w:id="3" w:name="_Toc102219561"/>
      <w:r>
        <w:t>SDE solution for Equation</w:t>
      </w:r>
      <w:bookmarkEnd w:id="3"/>
    </w:p>
    <w:p w14:paraId="6466E763" w14:textId="67E89357" w:rsidR="00144602" w:rsidRDefault="00144602" w:rsidP="00144602"/>
    <w:p w14:paraId="60696BB6" w14:textId="3E910D5F" w:rsidR="00074844" w:rsidRDefault="00591FCE" w:rsidP="00144602">
      <w:r>
        <w:t>Model equation</w:t>
      </w:r>
    </w:p>
    <w:p w14:paraId="774B5F48" w14:textId="2870B22D" w:rsidR="00974252" w:rsidRPr="00974252" w:rsidRDefault="00591FCE" w:rsidP="00591FCE">
      <m:oMathPara>
        <m:oMath>
          <m:r>
            <w:rPr>
              <w:rFonts w:ascii="Cambria Math" w:hAnsi="Cambria Math"/>
            </w:rPr>
            <m:t>dlog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t</m:t>
              </m:r>
            </m:e>
            <m:sub/>
          </m:sSub>
          <m:r>
            <w:rPr>
              <w:rFonts w:ascii="Cambria Math" w:hAnsi="Cambria Math"/>
            </w:rPr>
            <m:t>+ σd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0F227AE4" w14:textId="2A3630F1" w:rsidR="00974252" w:rsidRPr="002F7EFF" w:rsidRDefault="00952F19" w:rsidP="00591FCE">
      <w:r>
        <w:t>Assume:</w:t>
      </w:r>
      <w:r w:rsidR="00974252" w:rsidRPr="00974252">
        <w:rPr>
          <w:rFonts w:ascii="Cambria Math" w:hAnsi="Cambria Math"/>
          <w:i/>
        </w:rPr>
        <w:br/>
      </w:r>
      <m:oMathPara>
        <m:oMath>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t</m:t>
              </m:r>
            </m:e>
            <m:sub/>
          </m:sSub>
          <m:r>
            <w:rPr>
              <w:rFonts w:ascii="Cambria Math" w:hAnsi="Cambria Math"/>
            </w:rPr>
            <m:t>+ B(t)d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360051CA" w14:textId="0C789F98" w:rsidR="00591FCE" w:rsidRDefault="00591FCE" w:rsidP="00144602">
      <w:r>
        <w:t xml:space="preserve">Getting a solution using Ito’s Lemma: </w:t>
      </w:r>
    </w:p>
    <w:p w14:paraId="0A8F2F03" w14:textId="066B2E35" w:rsidR="00591FCE" w:rsidRPr="00591FCE" w:rsidRDefault="00591FCE" w:rsidP="00144602">
      <m:oMathPara>
        <m:oMath>
          <m:r>
            <w:rPr>
              <w:rFonts w:ascii="Cambria Math" w:hAnsi="Cambria Math"/>
            </w:rPr>
            <w:lastRenderedPageBreak/>
            <m:t>Let  F</m:t>
          </m:r>
          <m:d>
            <m:dPr>
              <m:ctrlPr>
                <w:rPr>
                  <w:rFonts w:ascii="Cambria Math" w:hAnsi="Cambria Math"/>
                  <w:i/>
                </w:rPr>
              </m:ctrlPr>
            </m:dPr>
            <m:e>
              <m:r>
                <w:rPr>
                  <w:rFonts w:ascii="Cambria Math" w:hAnsi="Cambria Math"/>
                </w:rPr>
                <m:t>x,t</m:t>
              </m:r>
            </m:e>
          </m:d>
          <m:r>
            <w:rPr>
              <w:rFonts w:ascii="Cambria Math" w:hAnsi="Cambria Math"/>
            </w:rPr>
            <m:t>=Log</m:t>
          </m:r>
          <m:d>
            <m:dPr>
              <m:ctrlPr>
                <w:rPr>
                  <w:rFonts w:ascii="Cambria Math" w:hAnsi="Cambria Math"/>
                  <w:i/>
                </w:rPr>
              </m:ctrlPr>
            </m:dPr>
            <m:e>
              <m:r>
                <w:rPr>
                  <w:rFonts w:ascii="Cambria Math" w:hAnsi="Cambria Math"/>
                </w:rPr>
                <m:t>x</m:t>
              </m:r>
            </m:e>
          </m:d>
        </m:oMath>
      </m:oMathPara>
    </w:p>
    <w:p w14:paraId="58D85E53" w14:textId="316F53D8" w:rsidR="00591FCE" w:rsidRPr="00591FCE" w:rsidRDefault="00952F19" w:rsidP="00144602">
      <w:r>
        <w:t>Hence,</w:t>
      </w:r>
    </w:p>
    <w:p w14:paraId="0474ACBA" w14:textId="0D90C892" w:rsidR="00591FCE" w:rsidRPr="00591FCE" w:rsidRDefault="005A61A8" w:rsidP="00144602">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x,t</m:t>
                  </m:r>
                </m:e>
              </m:d>
            </m:num>
            <m:den>
              <m:r>
                <w:rPr>
                  <w:rFonts w:ascii="Cambria Math" w:hAnsi="Cambria Math"/>
                </w:rPr>
                <m:t>dt</m:t>
              </m:r>
            </m:den>
          </m:f>
          <m:r>
            <w:rPr>
              <w:rFonts w:ascii="Cambria Math" w:hAnsi="Cambria Math"/>
            </w:rPr>
            <m:t>=0</m:t>
          </m:r>
        </m:oMath>
      </m:oMathPara>
    </w:p>
    <w:p w14:paraId="7A70177B" w14:textId="0898AA05" w:rsidR="00591FCE" w:rsidRPr="00591FCE" w:rsidRDefault="005A61A8" w:rsidP="00591FCE">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25055D8C" w14:textId="77777777" w:rsidR="00144602" w:rsidRDefault="00144602" w:rsidP="00144602"/>
    <w:p w14:paraId="4A0808C1" w14:textId="568CAADA" w:rsidR="00591FCE" w:rsidRPr="00591FCE" w:rsidRDefault="005A61A8" w:rsidP="00591FCE">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x,t</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395F01EB" w14:textId="1FC234CD" w:rsidR="00144602" w:rsidRDefault="00144602" w:rsidP="00144602"/>
    <w:p w14:paraId="78705A5D" w14:textId="2C7DFA0D" w:rsidR="00591FCE" w:rsidRDefault="00591FCE" w:rsidP="00144602">
      <w:r>
        <w:t>Substituting these in Ito’s Lemma equation:</w:t>
      </w:r>
    </w:p>
    <w:p w14:paraId="75094648" w14:textId="6A5D4A9F" w:rsidR="00D41B4E" w:rsidRPr="00974252" w:rsidRDefault="00591FCE" w:rsidP="00A44C5B">
      <m:oMathPara>
        <m:oMath>
          <m:r>
            <w:rPr>
              <w:rFonts w:ascii="Cambria Math" w:hAnsi="Cambria Math"/>
            </w:rPr>
            <m:t>df</m:t>
          </m:r>
          <m:d>
            <m:dPr>
              <m:ctrlPr>
                <w:rPr>
                  <w:rFonts w:ascii="Cambria Math" w:hAnsi="Cambria Math"/>
                  <w:i/>
                </w:rPr>
              </m:ctrlPr>
            </m:dPr>
            <m:e>
              <m:r>
                <w:rPr>
                  <w:rFonts w:ascii="Cambria Math" w:hAnsi="Cambria Math"/>
                </w:rPr>
                <m:t>x,t</m:t>
              </m:r>
            </m:e>
          </m:d>
          <m:r>
            <w:rPr>
              <w:rFonts w:ascii="Cambria Math" w:hAnsi="Cambria Math"/>
            </w:rPr>
            <m:t xml:space="preserve">= </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x,t</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x,t</m:t>
                  </m:r>
                </m:e>
              </m:d>
            </m:num>
            <m:den>
              <m:r>
                <w:rPr>
                  <w:rFonts w:ascii="Cambria Math" w:hAnsi="Cambria Math"/>
                </w:rPr>
                <m:t>dt</m:t>
              </m:r>
            </m:den>
          </m:f>
          <m:r>
            <w:rPr>
              <w:rFonts w:ascii="Cambria Math" w:hAnsi="Cambria Math"/>
            </w:rPr>
            <m:t>dt</m:t>
          </m:r>
        </m:oMath>
      </m:oMathPara>
    </w:p>
    <w:p w14:paraId="048F7B65" w14:textId="4A516D74" w:rsidR="00974252" w:rsidRPr="00507A84" w:rsidRDefault="00974252" w:rsidP="00974252">
      <m:oMathPara>
        <m:oMath>
          <m:r>
            <w:rPr>
              <w:rFonts w:ascii="Cambria Math" w:hAnsi="Cambria Math"/>
            </w:rPr>
            <m:t>df</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2</m:t>
                  </m:r>
                </m:sup>
              </m:sSubSup>
            </m:den>
          </m:f>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w:rPr>
                      <w:rFonts w:ascii="Cambria Math" w:hAnsi="Cambria Math"/>
                    </w:rPr>
                    <m:t>r</m:t>
                  </m:r>
                </m:e>
                <m:sub>
                  <m:r>
                    <w:rPr>
                      <w:rFonts w:ascii="Cambria Math" w:hAnsi="Cambria Math"/>
                    </w:rPr>
                    <m:t>t</m:t>
                  </m:r>
                </m:sub>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dt+B(t)</m:t>
          </m:r>
          <m:sSubSup>
            <m:sSubSupPr>
              <m:ctrlPr>
                <w:rPr>
                  <w:rFonts w:ascii="Cambria Math" w:hAnsi="Cambria Math"/>
                  <w:i/>
                </w:rPr>
              </m:ctrlPr>
            </m:sSubSupPr>
            <m:e>
              <m:r>
                <w:rPr>
                  <w:rFonts w:ascii="Cambria Math" w:hAnsi="Cambria Math"/>
                </w:rPr>
                <m:t>r</m:t>
              </m:r>
            </m:e>
            <m:sub>
              <m:r>
                <w:rPr>
                  <w:rFonts w:ascii="Cambria Math" w:hAnsi="Cambria Math"/>
                </w:rPr>
                <m:t>t</m:t>
              </m:r>
            </m:sub>
            <m:sup/>
          </m:sSubSup>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30E0CB2A" w14:textId="3ADEE3CC" w:rsidR="00507A84" w:rsidRDefault="00507A84" w:rsidP="00974252"/>
    <w:p w14:paraId="13D5E546" w14:textId="33C52912" w:rsidR="00507A84" w:rsidRDefault="00507A84" w:rsidP="00974252">
      <w:r>
        <w:t xml:space="preserve">We can now compare it to the actual model equation to get the value of A(t) and B(t). We get </w:t>
      </w:r>
    </w:p>
    <w:p w14:paraId="271CA374" w14:textId="10B77023" w:rsidR="00507A84" w:rsidRDefault="00507A84" w:rsidP="00974252"/>
    <w:p w14:paraId="68559DC5" w14:textId="2ECE70AF" w:rsidR="00507A84" w:rsidRPr="00507A84" w:rsidRDefault="005A61A8" w:rsidP="00974252">
      <m:oMathPara>
        <m:oMath>
          <m:sSubSup>
            <m:sSubSupPr>
              <m:ctrlPr>
                <w:rPr>
                  <w:rFonts w:ascii="Cambria Math" w:hAnsi="Cambria Math"/>
                  <w:i/>
                </w:rPr>
              </m:ctrlPr>
            </m:sSubSup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 r</m:t>
              </m:r>
            </m:e>
            <m:sub>
              <m:r>
                <w:rPr>
                  <w:rFonts w:ascii="Cambria Math" w:hAnsi="Cambria Math"/>
                </w:rPr>
                <m:t>t</m:t>
              </m:r>
            </m:sub>
            <m:sup/>
          </m:sSubSup>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40C5B15C" w14:textId="11713A5D" w:rsidR="00507A84" w:rsidRPr="00507A84" w:rsidRDefault="00507A84" w:rsidP="00974252">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 σ</m:t>
          </m:r>
        </m:oMath>
      </m:oMathPara>
    </w:p>
    <w:p w14:paraId="1804A08A" w14:textId="77777777" w:rsidR="00974252" w:rsidRPr="00974252" w:rsidRDefault="00974252" w:rsidP="00A44C5B"/>
    <w:p w14:paraId="20947D5A" w14:textId="2DF507A1" w:rsidR="002F7EFF" w:rsidRDefault="00507A84" w:rsidP="00A44C5B">
      <w:r>
        <w:t>Hence the final SDE is:</w:t>
      </w:r>
    </w:p>
    <w:p w14:paraId="0343CE5D" w14:textId="4768AECB" w:rsidR="00507A84" w:rsidRPr="00EC1341" w:rsidRDefault="005A61A8" w:rsidP="00507A84">
      <m:oMathPara>
        <m:oMath>
          <m:sSubSup>
            <m:sSubSupPr>
              <m:ctrlPr>
                <w:rPr>
                  <w:rFonts w:ascii="Cambria Math" w:hAnsi="Cambria Math"/>
                  <w:i/>
                </w:rPr>
              </m:ctrlPr>
            </m:sSubSupPr>
            <m:e>
              <m:r>
                <w:rPr>
                  <w:rFonts w:ascii="Cambria Math" w:hAnsi="Cambria Math"/>
                </w:rPr>
                <m:t>dr</m:t>
              </m:r>
            </m:e>
            <m:sub>
              <m:r>
                <w:rPr>
                  <w:rFonts w:ascii="Cambria Math" w:hAnsi="Cambria Math"/>
                </w:rPr>
                <m:t>t</m:t>
              </m:r>
            </m:sub>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t</m:t>
              </m:r>
            </m:sub>
            <m:sup/>
          </m:sSubSup>
          <m:d>
            <m:dPr>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dt+ </m:t>
          </m:r>
          <m:sSubSup>
            <m:sSubSupPr>
              <m:ctrlPr>
                <w:rPr>
                  <w:rFonts w:ascii="Cambria Math" w:hAnsi="Cambria Math"/>
                  <w:i/>
                </w:rPr>
              </m:ctrlPr>
            </m:sSubSupPr>
            <m:e>
              <m:r>
                <w:rPr>
                  <w:rFonts w:ascii="Cambria Math" w:hAnsi="Cambria Math"/>
                </w:rPr>
                <m:t>r</m:t>
              </m:r>
            </m:e>
            <m:sub>
              <m:r>
                <w:rPr>
                  <w:rFonts w:ascii="Cambria Math" w:hAnsi="Cambria Math"/>
                </w:rPr>
                <m:t>t</m:t>
              </m:r>
            </m:sub>
            <m:sup/>
          </m:sSubSup>
          <m:r>
            <w:rPr>
              <w:rFonts w:ascii="Cambria Math" w:hAnsi="Cambria Math"/>
            </w:rPr>
            <m:t>σ</m:t>
          </m:r>
          <m:sSub>
            <m:sSubPr>
              <m:ctrlPr>
                <w:rPr>
                  <w:rFonts w:ascii="Cambria Math" w:hAnsi="Cambria Math"/>
                  <w:i/>
                </w:rPr>
              </m:ctrlPr>
            </m:sSubPr>
            <m:e>
              <m:r>
                <w:rPr>
                  <w:rFonts w:ascii="Cambria Math" w:hAnsi="Cambria Math"/>
                </w:rPr>
                <m:t>dW</m:t>
              </m:r>
            </m:e>
            <m:sub>
              <m:r>
                <w:rPr>
                  <w:rFonts w:ascii="Cambria Math" w:hAnsi="Cambria Math"/>
                </w:rPr>
                <m:t>t</m:t>
              </m:r>
            </m:sub>
          </m:sSub>
        </m:oMath>
      </m:oMathPara>
    </w:p>
    <w:p w14:paraId="16068302" w14:textId="12DC8E5D" w:rsidR="00EC1341" w:rsidRDefault="00EC1341" w:rsidP="00507A84"/>
    <w:p w14:paraId="324E46D3" w14:textId="7BCB5110" w:rsidR="00EC1341" w:rsidRDefault="00EC1341" w:rsidP="00507A84">
      <w:r>
        <w:t xml:space="preserve">The report assumes a simple linear model for </w:t>
      </w:r>
      <m:oMath>
        <m:r>
          <w:rPr>
            <w:rFonts w:ascii="Cambria Math" w:hAnsi="Cambria Math"/>
          </w:rPr>
          <m:t>θ</m:t>
        </m:r>
        <m:d>
          <m:dPr>
            <m:ctrlPr>
              <w:rPr>
                <w:rFonts w:ascii="Cambria Math" w:hAnsi="Cambria Math"/>
                <w:i/>
              </w:rPr>
            </m:ctrlPr>
          </m:dPr>
          <m:e>
            <m:r>
              <w:rPr>
                <w:rFonts w:ascii="Cambria Math" w:hAnsi="Cambria Math"/>
              </w:rPr>
              <m:t>t</m:t>
            </m:r>
          </m:e>
        </m:d>
      </m:oMath>
    </w:p>
    <w:p w14:paraId="092CD078" w14:textId="20961DED" w:rsidR="00EC1341" w:rsidRPr="00901C5D" w:rsidRDefault="00901C5D" w:rsidP="00901C5D">
      <w:pPr>
        <w:jc w:val="cente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α + β*t</m:t>
          </m:r>
        </m:oMath>
      </m:oMathPara>
    </w:p>
    <w:p w14:paraId="5BF6DB18" w14:textId="645F6E85" w:rsidR="002830B8" w:rsidRDefault="00901C5D" w:rsidP="00901C5D">
      <w:r>
        <w:t xml:space="preserve">Therefore, the closed form solution for this equation </w:t>
      </w:r>
      <w:r w:rsidR="002830B8">
        <w:t>would be:</w:t>
      </w:r>
    </w:p>
    <w:p w14:paraId="3C1FE318" w14:textId="25C54EC6" w:rsidR="002830B8" w:rsidRPr="00507A84" w:rsidRDefault="005A61A8" w:rsidP="00901C5D">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exp</m:t>
                  </m:r>
                  <m:ctrlPr>
                    <w:rPr>
                      <w:rFonts w:ascii="Cambria Math" w:hAnsi="Cambria Math"/>
                    </w:rPr>
                  </m:ctrlPr>
                </m:e>
                <m:sup>
                  <m:d>
                    <m:dPr>
                      <m:ctrlPr>
                        <w:rPr>
                          <w:rFonts w:ascii="Cambria Math" w:hAnsi="Cambria Math"/>
                          <w:i/>
                        </w:rPr>
                      </m:ctrlPr>
                    </m:dPr>
                    <m:e>
                      <m:r>
                        <w:rPr>
                          <w:rFonts w:ascii="Cambria Math" w:hAnsi="Cambria Math"/>
                        </w:rPr>
                        <m:t>α*t+ β*</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m:t>
                          </m:r>
                        </m:num>
                        <m:den>
                          <m:r>
                            <w:rPr>
                              <w:rFonts w:ascii="Cambria Math" w:hAnsi="Cambria Math"/>
                            </w:rPr>
                            <m:t>2</m:t>
                          </m:r>
                        </m:den>
                      </m:f>
                      <m:r>
                        <w:rPr>
                          <w:rFonts w:ascii="Cambria Math" w:hAnsi="Cambria Math"/>
                        </w:rPr>
                        <m:t xml:space="preserve"> + σ</m:t>
                      </m:r>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Z</m:t>
                          </m:r>
                        </m:e>
                        <m:sub>
                          <m:r>
                            <w:rPr>
                              <w:rFonts w:ascii="Cambria Math" w:hAnsi="Cambria Math"/>
                            </w:rPr>
                            <m:t>t</m:t>
                          </m:r>
                        </m:sub>
                      </m:sSub>
                    </m:e>
                  </m:d>
                  <m:ctrlPr>
                    <w:rPr>
                      <w:rFonts w:ascii="Cambria Math" w:hAnsi="Cambria Math"/>
                    </w:rPr>
                  </m:ctrlPr>
                </m:sup>
              </m:sSup>
            </m:fName>
            <m:e/>
          </m:func>
        </m:oMath>
      </m:oMathPara>
    </w:p>
    <w:p w14:paraId="7FCA8E6D" w14:textId="56F11F1B" w:rsidR="00507A84" w:rsidRDefault="00507A84" w:rsidP="00A44C5B"/>
    <w:p w14:paraId="26649DEB" w14:textId="667319D5" w:rsidR="00AF4B09" w:rsidRDefault="00AF4B09" w:rsidP="00A44C5B">
      <w:r>
        <w:t xml:space="preserve">We can use this equation and simulate short rates using </w:t>
      </w:r>
      <w:r w:rsidR="002830B8">
        <w:t>E</w:t>
      </w:r>
      <w:r>
        <w:t xml:space="preserve">uler method of discretization. </w:t>
      </w:r>
    </w:p>
    <w:p w14:paraId="68B2F231" w14:textId="5A745F64" w:rsidR="00210E46" w:rsidRDefault="00210E46" w:rsidP="00A44C5B">
      <w:r>
        <w:t xml:space="preserve">The models can be used to generate short rates into the future which can be used to calculate the price of bonds using the discounted cashflow method. </w:t>
      </w:r>
    </w:p>
    <w:p w14:paraId="3D7C781D" w14:textId="77777777" w:rsidR="001E481C" w:rsidRDefault="001E481C" w:rsidP="00A44C5B"/>
    <w:p w14:paraId="7D6FA6F4" w14:textId="57CFD03B" w:rsidR="008F0B7B" w:rsidRDefault="00AF4B09" w:rsidP="001E481C">
      <w:pPr>
        <w:pStyle w:val="Heading2"/>
      </w:pPr>
      <w:bookmarkStart w:id="4" w:name="_Toc102219562"/>
      <w:r>
        <w:t>Treasury Yields and Bootstrapping</w:t>
      </w:r>
      <w:bookmarkEnd w:id="4"/>
      <w:r>
        <w:t xml:space="preserve"> </w:t>
      </w:r>
    </w:p>
    <w:p w14:paraId="136307E6" w14:textId="77777777" w:rsidR="00843BB6" w:rsidRDefault="00AF4B09" w:rsidP="00AF4B09">
      <w:r>
        <w:t xml:space="preserve">This model is </w:t>
      </w:r>
      <w:r w:rsidR="00843BB6">
        <w:t xml:space="preserve">now calibrated using the zero-coupon bond prices. </w:t>
      </w:r>
      <w:proofErr w:type="gramStart"/>
      <w:r w:rsidR="00843BB6">
        <w:t>In order to</w:t>
      </w:r>
      <w:proofErr w:type="gramEnd"/>
      <w:r w:rsidR="00843BB6">
        <w:t xml:space="preserve"> get the market prices of ZCBs, we use the current treasury par curves. These rates are released daily by the US Fed department. They can be found </w:t>
      </w:r>
      <w:proofErr w:type="gramStart"/>
      <w:r w:rsidR="00843BB6">
        <w:t>here</w:t>
      </w:r>
      <w:r w:rsidR="00843BB6" w:rsidRPr="00843BB6">
        <w:rPr>
          <w:vertAlign w:val="superscript"/>
        </w:rPr>
        <w:t>[</w:t>
      </w:r>
      <w:proofErr w:type="gramEnd"/>
      <w:r w:rsidR="00843BB6" w:rsidRPr="00843BB6">
        <w:rPr>
          <w:vertAlign w:val="superscript"/>
        </w:rPr>
        <w:t>1]</w:t>
      </w:r>
      <w:r w:rsidR="00843BB6">
        <w:t xml:space="preserve">. </w:t>
      </w:r>
    </w:p>
    <w:p w14:paraId="61AB740F" w14:textId="77777777" w:rsidR="00ED415A" w:rsidRDefault="00843BB6" w:rsidP="00AF4B09">
      <w:r>
        <w:t xml:space="preserve">Since these are the par rates for US Treasuries, they were needed to be converted to </w:t>
      </w:r>
      <w:r w:rsidR="00ED415A">
        <w:t>spot rates/ZCB rates. The following method was followed for this calculation.</w:t>
      </w:r>
    </w:p>
    <w:p w14:paraId="03C46E99" w14:textId="211D7DC1" w:rsidR="00ED415A" w:rsidRDefault="00ED415A" w:rsidP="00ED415A">
      <w:pPr>
        <w:pStyle w:val="ListParagraph"/>
        <w:numPr>
          <w:ilvl w:val="0"/>
          <w:numId w:val="2"/>
        </w:numPr>
      </w:pPr>
      <w:r>
        <w:t xml:space="preserve">Download the Par Rate curve from the Official </w:t>
      </w:r>
      <w:r w:rsidR="00185101">
        <w:t>Website</w:t>
      </w:r>
      <w:r w:rsidR="00185101" w:rsidRPr="00843BB6">
        <w:rPr>
          <w:vertAlign w:val="superscript"/>
        </w:rPr>
        <w:t xml:space="preserve"> [</w:t>
      </w:r>
      <w:r w:rsidRPr="00843BB6">
        <w:rPr>
          <w:vertAlign w:val="superscript"/>
        </w:rPr>
        <w:t>1]</w:t>
      </w:r>
      <w:r>
        <w:t>.</w:t>
      </w:r>
    </w:p>
    <w:p w14:paraId="631570E2" w14:textId="77777777" w:rsidR="00ED415A" w:rsidRDefault="00ED415A" w:rsidP="00ED415A">
      <w:pPr>
        <w:pStyle w:val="ListParagraph"/>
        <w:numPr>
          <w:ilvl w:val="0"/>
          <w:numId w:val="2"/>
        </w:numPr>
      </w:pPr>
      <w:r>
        <w:t xml:space="preserve">Interpolate the missing tenure rates from the given Par curve. </w:t>
      </w:r>
    </w:p>
    <w:p w14:paraId="58A71A9B" w14:textId="77777777" w:rsidR="00ED415A" w:rsidRDefault="00ED415A" w:rsidP="00ED415A">
      <w:pPr>
        <w:pStyle w:val="ListParagraph"/>
        <w:numPr>
          <w:ilvl w:val="0"/>
          <w:numId w:val="2"/>
        </w:numPr>
      </w:pPr>
      <w:r>
        <w:t xml:space="preserve">Use Bootstrapping to convert par rates to Spot rates/ZCB prices. </w:t>
      </w:r>
    </w:p>
    <w:p w14:paraId="37A2B1DF" w14:textId="7076CB73" w:rsidR="00ED415A" w:rsidRDefault="001920A2" w:rsidP="001920A2">
      <w:r>
        <w:t>The zero-coupon yield curve can be constructed from the observed prices of coupon</w:t>
      </w:r>
      <w:r>
        <w:t xml:space="preserve"> </w:t>
      </w:r>
      <w:r>
        <w:t>bearing bonds by the technique of bootstrapping – that is, we build up the pattern of zero</w:t>
      </w:r>
      <w:r>
        <w:t>-</w:t>
      </w:r>
      <w:r>
        <w:t xml:space="preserve">coupon yields that is consistent with the market prices of the conventional bonds, using linear interpolation between observed values, where necessary. Bootstrapping involves finding the zero-coupon yields recursively. Having first determined the zero-coupon yield for the bond with the shortest outstanding term, we then use that information to determine the spot yield for the next shortest bond and so on. The technique, which implicitly assumes that bond markets are arbitrage-free, is best explained by means of an example. </w:t>
      </w:r>
      <w:r w:rsidR="00BA0244">
        <w:t xml:space="preserve">It follows the following formula </w:t>
      </w:r>
    </w:p>
    <w:p w14:paraId="75865BE4" w14:textId="070EF2F4" w:rsidR="00BA0244" w:rsidRDefault="0003232F" w:rsidP="0003232F">
      <w:pPr>
        <w:jc w:val="center"/>
      </w:pPr>
      <w:r w:rsidRPr="0003232F">
        <w:drawing>
          <wp:inline distT="0" distB="0" distL="0" distR="0" wp14:anchorId="2E2AC7D0" wp14:editId="735DB1A8">
            <wp:extent cx="3372023" cy="603281"/>
            <wp:effectExtent l="19050" t="19050" r="19050" b="2540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pic:nvPicPr>
                  <pic:blipFill>
                    <a:blip r:embed="rId6"/>
                    <a:stretch>
                      <a:fillRect/>
                    </a:stretch>
                  </pic:blipFill>
                  <pic:spPr>
                    <a:xfrm>
                      <a:off x="0" y="0"/>
                      <a:ext cx="3372023" cy="603281"/>
                    </a:xfrm>
                    <a:prstGeom prst="rect">
                      <a:avLst/>
                    </a:prstGeom>
                    <a:ln>
                      <a:solidFill>
                        <a:schemeClr val="tx1"/>
                      </a:solidFill>
                    </a:ln>
                  </pic:spPr>
                </pic:pic>
              </a:graphicData>
            </a:graphic>
          </wp:inline>
        </w:drawing>
      </w:r>
    </w:p>
    <w:p w14:paraId="638B3861" w14:textId="091B61A7" w:rsidR="0003232F" w:rsidRDefault="0003232F" w:rsidP="0003232F">
      <w:r>
        <w:t xml:space="preserve">Where c is the par rate for term n. This is done recursively starting with term 1 and going till the desired term. </w:t>
      </w:r>
    </w:p>
    <w:p w14:paraId="212FBD08" w14:textId="3440952B" w:rsidR="00BA0244" w:rsidRDefault="00BA0244" w:rsidP="00ED415A">
      <w:r>
        <w:t xml:space="preserve">The entire calculation for the yield curve can be found in the Excel sheets present in the supplement material. </w:t>
      </w:r>
    </w:p>
    <w:p w14:paraId="115D1839" w14:textId="3B76F73B" w:rsidR="00BA0244" w:rsidRDefault="00BA0244" w:rsidP="00ED415A"/>
    <w:p w14:paraId="7FEE5292" w14:textId="03D2F556" w:rsidR="00843BB6" w:rsidRDefault="00BA0244" w:rsidP="001E481C">
      <w:pPr>
        <w:pStyle w:val="Heading1"/>
      </w:pPr>
      <w:bookmarkStart w:id="5" w:name="_Toc102219563"/>
      <w:r>
        <w:t>Swaptions</w:t>
      </w:r>
      <w:bookmarkEnd w:id="5"/>
      <w:r>
        <w:t xml:space="preserve"> </w:t>
      </w:r>
    </w:p>
    <w:p w14:paraId="2BD270E4" w14:textId="4724FF2D" w:rsidR="00210E46" w:rsidRDefault="00210E46">
      <w:r w:rsidRPr="00210E46">
        <w:t>A swaption, also known as a swap option, refers to an option to enter an interest rate swap or some other type of swap. In exchange for an options premium, the buyer gains the right but not the obligation to enter into a specified swap agreement with the issuer on a specified future date.</w:t>
      </w:r>
    </w:p>
    <w:p w14:paraId="1B9D7100" w14:textId="14490DA4" w:rsidR="00210E46" w:rsidRDefault="00210E46">
      <w:r>
        <w:t>A swap can be considered as a short position in the fixed-rate bond and long position in floating-rate bond (The same value will be negative for a receiver swap). This can be incorporated in the following formula:</w:t>
      </w:r>
    </w:p>
    <w:p w14:paraId="519CFF74" w14:textId="7065191F" w:rsidR="00210E46" w:rsidRDefault="005A61A8">
      <m:oMathPara>
        <m:oMath>
          <m:sSub>
            <m:sSubPr>
              <m:ctrlPr>
                <w:rPr>
                  <w:rFonts w:ascii="Cambria Math" w:hAnsi="Cambria Math"/>
                  <w:i/>
                </w:rPr>
              </m:ctrlPr>
            </m:sSubPr>
            <m:e>
              <m:r>
                <w:rPr>
                  <w:rFonts w:ascii="Cambria Math" w:hAnsi="Cambria Math"/>
                </w:rPr>
                <m:t>Value</m:t>
              </m:r>
            </m:e>
            <m:sub>
              <m:r>
                <w:rPr>
                  <w:rFonts w:ascii="Cambria Math" w:hAnsi="Cambria Math"/>
                </w:rPr>
                <m:t>swap</m:t>
              </m:r>
            </m:sub>
          </m:sSub>
          <m:r>
            <w:rPr>
              <w:rFonts w:ascii="Cambria Math" w:hAnsi="Cambria Math"/>
            </w:rPr>
            <m:t xml:space="preserve">=Notional* </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t,To</m:t>
                  </m:r>
                </m:e>
              </m:d>
              <m:r>
                <w:rPr>
                  <w:rFonts w:ascii="Cambria Math" w:hAnsi="Cambria Math"/>
                </w:rPr>
                <m:t>-B</m:t>
              </m:r>
              <m:d>
                <m:dPr>
                  <m:ctrlPr>
                    <w:rPr>
                      <w:rFonts w:ascii="Cambria Math" w:hAnsi="Cambria Math"/>
                      <w:i/>
                    </w:rPr>
                  </m:ctrlPr>
                </m:dPr>
                <m:e>
                  <m:r>
                    <w:rPr>
                      <w:rFonts w:ascii="Cambria Math" w:hAnsi="Cambria Math"/>
                    </w:rPr>
                    <m:t>t,Tn</m:t>
                  </m:r>
                </m:e>
              </m:d>
              <m:r>
                <w:rPr>
                  <w:rFonts w:ascii="Cambria Math" w:hAnsi="Cambria Math"/>
                </w:rPr>
                <m:t>-</m:t>
              </m:r>
              <m:d>
                <m:dPr>
                  <m:ctrlPr>
                    <w:rPr>
                      <w:rFonts w:ascii="Cambria Math" w:hAnsi="Cambria Math"/>
                      <w:i/>
                    </w:rPr>
                  </m:ctrlPr>
                </m:dPr>
                <m:e>
                  <m:r>
                    <w:rPr>
                      <w:rFonts w:ascii="Cambria Math" w:hAnsi="Cambria Math"/>
                    </w:rPr>
                    <m:t>k*Paymen</m:t>
                  </m:r>
                  <m:sSub>
                    <m:sSubPr>
                      <m:ctrlPr>
                        <w:rPr>
                          <w:rFonts w:ascii="Cambria Math" w:hAnsi="Cambria Math"/>
                          <w:i/>
                        </w:rPr>
                      </m:ctrlPr>
                    </m:sSubPr>
                    <m:e>
                      <m:r>
                        <w:rPr>
                          <w:rFonts w:ascii="Cambria Math" w:hAnsi="Cambria Math"/>
                        </w:rPr>
                        <m:t>t</m:t>
                      </m:r>
                    </m:e>
                    <m:sub>
                      <m:r>
                        <w:rPr>
                          <w:rFonts w:ascii="Cambria Math" w:hAnsi="Cambria Math"/>
                        </w:rPr>
                        <m:t>freq</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e>
              </m:d>
            </m:e>
          </m:d>
        </m:oMath>
      </m:oMathPara>
    </w:p>
    <w:p w14:paraId="1C41DA1D" w14:textId="2B299456" w:rsidR="00843BB6" w:rsidRDefault="00572DCA">
      <w:r>
        <w:t>Where</w:t>
      </w:r>
      <w:r w:rsidR="00952F19">
        <w:t xml:space="preserve">: </w:t>
      </w:r>
    </w:p>
    <w:p w14:paraId="36FFC923" w14:textId="4F7D27EC" w:rsidR="00572DCA" w:rsidRPr="00572DCA" w:rsidRDefault="00572DCA" w:rsidP="00572DCA">
      <w:pPr>
        <w:ind w:left="720"/>
        <w:rPr>
          <w:i/>
          <w:iCs/>
        </w:rPr>
      </w:pPr>
      <w:r w:rsidRPr="00572DCA">
        <w:rPr>
          <w:i/>
          <w:iCs/>
        </w:rPr>
        <w:t>B(</w:t>
      </w:r>
      <w:proofErr w:type="spellStart"/>
      <w:proofErr w:type="gramStart"/>
      <w:r w:rsidRPr="00572DCA">
        <w:rPr>
          <w:i/>
          <w:iCs/>
        </w:rPr>
        <w:t>t,T</w:t>
      </w:r>
      <w:proofErr w:type="spellEnd"/>
      <w:proofErr w:type="gramEnd"/>
      <w:r w:rsidRPr="00572DCA">
        <w:rPr>
          <w:i/>
          <w:iCs/>
        </w:rPr>
        <w:t xml:space="preserve">): Price of bond at time t maturing at time T. </w:t>
      </w:r>
    </w:p>
    <w:p w14:paraId="3ABF1DB8" w14:textId="2EA895C8" w:rsidR="00572DCA" w:rsidRPr="00572DCA" w:rsidRDefault="00572DCA" w:rsidP="00572DCA">
      <w:pPr>
        <w:ind w:left="720"/>
        <w:rPr>
          <w:i/>
          <w:iCs/>
        </w:rPr>
      </w:pPr>
      <w:r w:rsidRPr="00572DCA">
        <w:rPr>
          <w:i/>
          <w:iCs/>
        </w:rPr>
        <w:t xml:space="preserve">K: </w:t>
      </w:r>
      <w:r>
        <w:rPr>
          <w:i/>
          <w:iCs/>
        </w:rPr>
        <w:t>Swap Rate</w:t>
      </w:r>
      <w:r w:rsidRPr="00572DCA">
        <w:rPr>
          <w:i/>
          <w:iCs/>
        </w:rPr>
        <w:t xml:space="preserve"> </w:t>
      </w:r>
    </w:p>
    <w:p w14:paraId="5BB6D924" w14:textId="098E8493" w:rsidR="00572DCA" w:rsidRPr="00572DCA" w:rsidRDefault="00572DCA" w:rsidP="00572DCA">
      <w:pPr>
        <w:ind w:left="720"/>
        <w:rPr>
          <w:i/>
          <w:iCs/>
        </w:rPr>
      </w:pPr>
      <w:r w:rsidRPr="00572DCA">
        <w:rPr>
          <w:i/>
          <w:iCs/>
        </w:rPr>
        <w:t xml:space="preserve">Notional: The amount underlying the swap payments </w:t>
      </w:r>
    </w:p>
    <w:p w14:paraId="3B80BCBE" w14:textId="05B0175E" w:rsidR="00572DCA" w:rsidRPr="00572DCA" w:rsidRDefault="00572DCA" w:rsidP="00572DCA">
      <w:pPr>
        <w:ind w:left="720"/>
        <w:rPr>
          <w:i/>
          <w:iCs/>
        </w:rPr>
      </w:pPr>
      <w:proofErr w:type="spellStart"/>
      <w:r w:rsidRPr="00572DCA">
        <w:rPr>
          <w:i/>
          <w:iCs/>
        </w:rPr>
        <w:t>Payment_freq</w:t>
      </w:r>
      <w:proofErr w:type="spellEnd"/>
      <w:r w:rsidRPr="00572DCA">
        <w:rPr>
          <w:i/>
          <w:iCs/>
        </w:rPr>
        <w:t>: Frequency of payment exchange in the swap</w:t>
      </w:r>
    </w:p>
    <w:p w14:paraId="29F5C070" w14:textId="77777777" w:rsidR="00572DCA" w:rsidRDefault="00572DCA"/>
    <w:p w14:paraId="353DB3F0" w14:textId="4FCB3CAA" w:rsidR="00572DCA" w:rsidRDefault="00572DCA">
      <w:r>
        <w:t xml:space="preserve">Since a swaption is an option to get to this cashflow, we can consider the payoff of the swaption </w:t>
      </w:r>
      <w:proofErr w:type="gramStart"/>
      <w:r>
        <w:t>as :</w:t>
      </w:r>
      <w:proofErr w:type="gramEnd"/>
    </w:p>
    <w:p w14:paraId="61D71A85" w14:textId="1D4A91C6" w:rsidR="00572DCA" w:rsidRDefault="00572DCA" w:rsidP="00572DCA">
      <m:oMathPara>
        <m:oMath>
          <m:r>
            <w:rPr>
              <w:rFonts w:ascii="Cambria Math" w:hAnsi="Cambria Math"/>
            </w:rPr>
            <m:t xml:space="preserve">Payoff =Notional* </m:t>
          </m:r>
          <m:sSup>
            <m:sSupPr>
              <m:ctrlPr>
                <w:rPr>
                  <w:rFonts w:ascii="Cambria Math" w:hAnsi="Cambria Math"/>
                  <w:i/>
                </w:rPr>
              </m:ctrlPr>
            </m:sSupPr>
            <m:e>
              <m:d>
                <m:dPr>
                  <m:ctrlPr>
                    <w:rPr>
                      <w:rFonts w:ascii="Cambria Math" w:hAnsi="Cambria Math"/>
                      <w:i/>
                    </w:rPr>
                  </m:ctrlPr>
                </m:dPr>
                <m:e>
                  <m:r>
                    <w:rPr>
                      <w:rFonts w:ascii="Cambria Math" w:hAnsi="Cambria Math"/>
                    </w:rPr>
                    <m:t>1-B</m:t>
                  </m:r>
                  <m:d>
                    <m:dPr>
                      <m:ctrlPr>
                        <w:rPr>
                          <w:rFonts w:ascii="Cambria Math" w:hAnsi="Cambria Math"/>
                          <w:i/>
                        </w:rPr>
                      </m:ctrlPr>
                    </m:dPr>
                    <m:e>
                      <m:r>
                        <w:rPr>
                          <w:rFonts w:ascii="Cambria Math" w:hAnsi="Cambria Math"/>
                        </w:rPr>
                        <m:t>To,Tn</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*Paymen</m:t>
                      </m:r>
                      <m:sSub>
                        <m:sSubPr>
                          <m:ctrlPr>
                            <w:rPr>
                              <w:rFonts w:ascii="Cambria Math" w:hAnsi="Cambria Math"/>
                              <w:i/>
                            </w:rPr>
                          </m:ctrlPr>
                        </m:sSubPr>
                        <m:e>
                          <m:r>
                            <w:rPr>
                              <w:rFonts w:ascii="Cambria Math" w:hAnsi="Cambria Math"/>
                            </w:rPr>
                            <m:t>t</m:t>
                          </m:r>
                        </m:e>
                        <m:sub>
                          <m:r>
                            <w:rPr>
                              <w:rFonts w:ascii="Cambria Math" w:hAnsi="Cambria Math"/>
                            </w:rPr>
                            <m:t>freq</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 xml:space="preserve">To, </m:t>
                              </m:r>
                              <m:sSub>
                                <m:sSubPr>
                                  <m:ctrlPr>
                                    <w:rPr>
                                      <w:rFonts w:ascii="Cambria Math" w:hAnsi="Cambria Math"/>
                                      <w:i/>
                                    </w:rPr>
                                  </m:ctrlPr>
                                </m:sSubPr>
                                <m:e>
                                  <m:r>
                                    <w:rPr>
                                      <w:rFonts w:ascii="Cambria Math" w:hAnsi="Cambria Math"/>
                                    </w:rPr>
                                    <m:t>T</m:t>
                                  </m:r>
                                </m:e>
                                <m:sub>
                                  <m:r>
                                    <w:rPr>
                                      <w:rFonts w:ascii="Cambria Math" w:hAnsi="Cambria Math"/>
                                    </w:rPr>
                                    <m:t>i</m:t>
                                  </m:r>
                                </m:sub>
                              </m:sSub>
                            </m:e>
                          </m:d>
                        </m:e>
                      </m:nary>
                    </m:e>
                  </m:d>
                </m:e>
              </m:d>
            </m:e>
            <m:sup>
              <m:r>
                <w:rPr>
                  <w:rFonts w:ascii="Cambria Math" w:hAnsi="Cambria Math"/>
                </w:rPr>
                <m:t>+</m:t>
              </m:r>
            </m:sup>
          </m:sSup>
        </m:oMath>
      </m:oMathPara>
    </w:p>
    <w:p w14:paraId="42E31F99" w14:textId="7FF64791" w:rsidR="00572DCA" w:rsidRDefault="00572DCA">
      <w:r>
        <w:t xml:space="preserve">Where </w:t>
      </w:r>
      <m:oMath>
        <m:acc>
          <m:accPr>
            <m:chr m:val="̅"/>
            <m:ctrlPr>
              <w:rPr>
                <w:rFonts w:ascii="Cambria Math" w:hAnsi="Cambria Math"/>
                <w:i/>
              </w:rPr>
            </m:ctrlPr>
          </m:accPr>
          <m:e>
            <m:r>
              <w:rPr>
                <w:rFonts w:ascii="Cambria Math" w:hAnsi="Cambria Math"/>
              </w:rPr>
              <m:t>R</m:t>
            </m:r>
          </m:e>
        </m:acc>
      </m:oMath>
      <w:r>
        <w:t xml:space="preserve"> is the forwards swap rate /strike </w:t>
      </w:r>
      <w:proofErr w:type="gramStart"/>
      <w:r>
        <w:t>rate.</w:t>
      </w:r>
      <w:proofErr w:type="gramEnd"/>
      <w:r w:rsidR="00CD015F">
        <w:t xml:space="preserve"> To is the term of the option and Tn is the term of the swap. </w:t>
      </w:r>
      <w:r>
        <w:t xml:space="preserve"> </w:t>
      </w:r>
    </w:p>
    <w:p w14:paraId="7F68A970" w14:textId="25E5AB23" w:rsidR="00572DCA" w:rsidRDefault="00572DCA">
      <w:r>
        <w:t xml:space="preserve">The value of the swaption can then be shown to </w:t>
      </w:r>
      <w:r w:rsidR="00952F19">
        <w:t>be:</w:t>
      </w:r>
    </w:p>
    <w:p w14:paraId="4C3BB270" w14:textId="691A2071" w:rsidR="00572DCA" w:rsidRDefault="00572DCA" w:rsidP="00572DCA">
      <m:oMathPara>
        <m:oMath>
          <m:r>
            <w:rPr>
              <w:rFonts w:ascii="Cambria Math" w:hAnsi="Cambria Math"/>
            </w:rPr>
            <m:t>Pric</m:t>
          </m:r>
          <m:sSub>
            <m:sSubPr>
              <m:ctrlPr>
                <w:rPr>
                  <w:rFonts w:ascii="Cambria Math" w:hAnsi="Cambria Math"/>
                  <w:i/>
                </w:rPr>
              </m:ctrlPr>
            </m:sSubPr>
            <m:e>
              <m:r>
                <w:rPr>
                  <w:rFonts w:ascii="Cambria Math" w:hAnsi="Cambria Math"/>
                </w:rPr>
                <m:t>e</m:t>
              </m:r>
            </m:e>
            <m:sub>
              <m:r>
                <w:rPr>
                  <w:rFonts w:ascii="Cambria Math" w:hAnsi="Cambria Math"/>
                </w:rPr>
                <m:t>Swaption</m:t>
              </m:r>
            </m:sub>
          </m:sSub>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o</m:t>
                      </m:r>
                    </m:sub>
                    <m:sup>
                      <m:r>
                        <w:rPr>
                          <w:rFonts w:ascii="Cambria Math" w:hAnsi="Cambria Math"/>
                        </w:rPr>
                        <m:t>To</m:t>
                      </m:r>
                    </m:sup>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dt</m:t>
                      </m:r>
                    </m:e>
                  </m:nary>
                </m:sup>
              </m:sSup>
              <m:r>
                <w:rPr>
                  <w:rFonts w:ascii="Cambria Math" w:hAnsi="Cambria Math"/>
                </w:rPr>
                <m:t xml:space="preserve"> Notional* </m:t>
              </m:r>
              <m:sSup>
                <m:sSupPr>
                  <m:ctrlPr>
                    <w:rPr>
                      <w:rFonts w:ascii="Cambria Math" w:hAnsi="Cambria Math"/>
                      <w:i/>
                    </w:rPr>
                  </m:ctrlPr>
                </m:sSupPr>
                <m:e>
                  <m:d>
                    <m:dPr>
                      <m:ctrlPr>
                        <w:rPr>
                          <w:rFonts w:ascii="Cambria Math" w:hAnsi="Cambria Math"/>
                          <w:i/>
                        </w:rPr>
                      </m:ctrlPr>
                    </m:dPr>
                    <m:e>
                      <m:r>
                        <w:rPr>
                          <w:rFonts w:ascii="Cambria Math" w:hAnsi="Cambria Math"/>
                        </w:rPr>
                        <m:t>1-B</m:t>
                      </m:r>
                      <m:d>
                        <m:dPr>
                          <m:ctrlPr>
                            <w:rPr>
                              <w:rFonts w:ascii="Cambria Math" w:hAnsi="Cambria Math"/>
                              <w:i/>
                            </w:rPr>
                          </m:ctrlPr>
                        </m:dPr>
                        <m:e>
                          <m:r>
                            <w:rPr>
                              <w:rFonts w:ascii="Cambria Math" w:hAnsi="Cambria Math"/>
                            </w:rPr>
                            <m:t>To,Tn</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*Paymen</m:t>
                          </m:r>
                          <m:sSub>
                            <m:sSubPr>
                              <m:ctrlPr>
                                <w:rPr>
                                  <w:rFonts w:ascii="Cambria Math" w:hAnsi="Cambria Math"/>
                                  <w:i/>
                                </w:rPr>
                              </m:ctrlPr>
                            </m:sSubPr>
                            <m:e>
                              <m:r>
                                <w:rPr>
                                  <w:rFonts w:ascii="Cambria Math" w:hAnsi="Cambria Math"/>
                                </w:rPr>
                                <m:t>t</m:t>
                              </m:r>
                            </m:e>
                            <m:sub>
                              <m:r>
                                <w:rPr>
                                  <w:rFonts w:ascii="Cambria Math" w:hAnsi="Cambria Math"/>
                                </w:rPr>
                                <m:t>freq</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 xml:space="preserve">To, </m:t>
                                  </m:r>
                                  <m:sSub>
                                    <m:sSubPr>
                                      <m:ctrlPr>
                                        <w:rPr>
                                          <w:rFonts w:ascii="Cambria Math" w:hAnsi="Cambria Math"/>
                                          <w:i/>
                                        </w:rPr>
                                      </m:ctrlPr>
                                    </m:sSubPr>
                                    <m:e>
                                      <m:r>
                                        <w:rPr>
                                          <w:rFonts w:ascii="Cambria Math" w:hAnsi="Cambria Math"/>
                                        </w:rPr>
                                        <m:t>T</m:t>
                                      </m:r>
                                    </m:e>
                                    <m:sub>
                                      <m:r>
                                        <w:rPr>
                                          <w:rFonts w:ascii="Cambria Math" w:hAnsi="Cambria Math"/>
                                        </w:rPr>
                                        <m:t>i</m:t>
                                      </m:r>
                                    </m:sub>
                                  </m:sSub>
                                </m:e>
                              </m:d>
                            </m:e>
                          </m:nary>
                        </m:e>
                      </m:d>
                    </m:e>
                  </m:d>
                </m:e>
                <m:sup>
                  <m:r>
                    <w:rPr>
                      <w:rFonts w:ascii="Cambria Math" w:hAnsi="Cambria Math"/>
                    </w:rPr>
                    <m:t>+</m:t>
                  </m:r>
                </m:sup>
              </m:sSup>
            </m:e>
          </m:d>
        </m:oMath>
      </m:oMathPara>
    </w:p>
    <w:p w14:paraId="5DB3CE18" w14:textId="77777777" w:rsidR="00572DCA" w:rsidRDefault="00572DCA"/>
    <w:p w14:paraId="3728E66F" w14:textId="5B4E8BA5" w:rsidR="00572DCA" w:rsidRDefault="00CD015F">
      <w:r>
        <w:t xml:space="preserve">This can be calculated using the Monte Carlo methods learnt during the course. </w:t>
      </w:r>
    </w:p>
    <w:p w14:paraId="45299B02" w14:textId="77777777" w:rsidR="00572DCA" w:rsidRDefault="00572DCA"/>
    <w:p w14:paraId="1799AF6E" w14:textId="77777777" w:rsidR="00ED6E56" w:rsidRDefault="00ED6E56">
      <w:pPr>
        <w:rPr>
          <w:rFonts w:asciiTheme="majorHAnsi" w:eastAsiaTheme="majorEastAsia" w:hAnsiTheme="majorHAnsi" w:cstheme="majorBidi"/>
          <w:color w:val="276E8B" w:themeColor="accent1" w:themeShade="BF"/>
          <w:sz w:val="32"/>
          <w:szCs w:val="32"/>
        </w:rPr>
      </w:pPr>
      <w:r>
        <w:br w:type="page"/>
      </w:r>
    </w:p>
    <w:p w14:paraId="6C982520" w14:textId="78E9D019" w:rsidR="00AB4997" w:rsidRPr="00185101" w:rsidRDefault="00CD015F" w:rsidP="00185101">
      <w:pPr>
        <w:pStyle w:val="Heading1"/>
      </w:pPr>
      <w:bookmarkStart w:id="6" w:name="_Toc102219564"/>
      <w:r>
        <w:lastRenderedPageBreak/>
        <w:t>Results</w:t>
      </w:r>
      <w:bookmarkEnd w:id="6"/>
      <w:r>
        <w:t xml:space="preserve"> </w:t>
      </w:r>
    </w:p>
    <w:p w14:paraId="261E0FB5" w14:textId="77777777" w:rsidR="00AB4997" w:rsidRDefault="00AB4997" w:rsidP="00AB4997">
      <w:pPr>
        <w:pStyle w:val="Heading2"/>
      </w:pPr>
      <w:bookmarkStart w:id="7" w:name="_Toc102219565"/>
      <w:r>
        <w:t>Bootstrapping results</w:t>
      </w:r>
      <w:bookmarkEnd w:id="7"/>
      <w:r>
        <w:t xml:space="preserve"> </w:t>
      </w:r>
    </w:p>
    <w:p w14:paraId="522715E0" w14:textId="77777777" w:rsidR="00AB4997" w:rsidRDefault="00AB4997" w:rsidP="00AB4997">
      <w:r>
        <w:t xml:space="preserve">The following results were generated using excel. The following can be shown in the graphs below: </w:t>
      </w:r>
    </w:p>
    <w:p w14:paraId="088079DD" w14:textId="77777777" w:rsidR="00ED6E56" w:rsidRDefault="00ED6E56" w:rsidP="00ED6E56">
      <w:pPr>
        <w:jc w:val="center"/>
      </w:pPr>
      <w:r>
        <w:rPr>
          <w:noProof/>
        </w:rPr>
        <w:drawing>
          <wp:inline distT="0" distB="0" distL="0" distR="0" wp14:anchorId="440BE6B6" wp14:editId="271A90FF">
            <wp:extent cx="4572000" cy="2743200"/>
            <wp:effectExtent l="0" t="0" r="0" b="0"/>
            <wp:docPr id="1" name="Chart 1">
              <a:extLst xmlns:a="http://schemas.openxmlformats.org/drawingml/2006/main">
                <a:ext uri="{FF2B5EF4-FFF2-40B4-BE49-F238E27FC236}">
                  <a16:creationId xmlns:a16="http://schemas.microsoft.com/office/drawing/2014/main" id="{A1B6DFDF-255C-44AF-92F4-47767C3D9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B2D9D5" w14:textId="77777777" w:rsidR="00ED6E56" w:rsidRDefault="00ED6E56" w:rsidP="00ED6E56"/>
    <w:p w14:paraId="39546BA3" w14:textId="77777777" w:rsidR="00696D7C" w:rsidRDefault="00ED6E56" w:rsidP="00ED6E56">
      <w:r>
        <w:t xml:space="preserve">The calculations for these have been shown inside the bootstrapping excel sheet. </w:t>
      </w:r>
    </w:p>
    <w:p w14:paraId="2B9555AD" w14:textId="088DAD0C" w:rsidR="00696D7C" w:rsidRDefault="00696D7C" w:rsidP="00696D7C">
      <w:pPr>
        <w:pStyle w:val="Heading2"/>
      </w:pPr>
      <w:bookmarkStart w:id="8" w:name="_Toc102219566"/>
      <w:r>
        <w:t>Calibration results</w:t>
      </w:r>
      <w:bookmarkEnd w:id="8"/>
      <w:r>
        <w:t xml:space="preserve"> </w:t>
      </w:r>
    </w:p>
    <w:p w14:paraId="4A8F26FB" w14:textId="3FC88212" w:rsidR="00DF7BB0" w:rsidRDefault="00696D7C" w:rsidP="00696D7C">
      <w:pPr>
        <w:rPr>
          <w:rFonts w:cstheme="minorHAnsi"/>
        </w:rPr>
      </w:pPr>
      <w:r>
        <w:t xml:space="preserve">The model was calibrated using the zero-coupon prices which we got above. The model solution and </w:t>
      </w:r>
      <w:r w:rsidR="00DF7BB0">
        <w:t>discretization</w:t>
      </w:r>
      <w:r>
        <w:t xml:space="preserve"> were used to calculate the theoretical value of </w:t>
      </w:r>
      <w:r w:rsidR="00DF7BB0">
        <w:t>zero-coupon</w:t>
      </w:r>
      <w:r>
        <w:t xml:space="preserve"> </w:t>
      </w:r>
      <w:r w:rsidR="00DF7BB0">
        <w:t xml:space="preserve">bonds using the discounted cashflow method in the discretized time periods. The theoretical and actual prices for </w:t>
      </w:r>
      <w:r w:rsidR="00952F19">
        <w:t>up to 10-year</w:t>
      </w:r>
      <w:r w:rsidR="00DF7BB0">
        <w:t xml:space="preserve"> </w:t>
      </w:r>
      <w:r w:rsidR="00952F19">
        <w:t>ZCBs were</w:t>
      </w:r>
      <w:r w:rsidR="00DF7BB0">
        <w:t xml:space="preserve"> compared and the sum of the squared differences was taken to be a function. The calibration was done by changing the parameters </w:t>
      </w:r>
      <w:r w:rsidR="00952F19">
        <w:rPr>
          <w:rFonts w:cstheme="minorHAnsi"/>
        </w:rPr>
        <w:t>σ,</w:t>
      </w:r>
      <w:r w:rsidR="00DF7BB0">
        <w:rPr>
          <w:rFonts w:cstheme="minorHAnsi"/>
        </w:rPr>
        <w:t xml:space="preserve"> α and β in the model, </w:t>
      </w:r>
    </w:p>
    <w:p w14:paraId="42A3F242" w14:textId="61D46835" w:rsidR="00DF7BB0" w:rsidRDefault="00DF7BB0" w:rsidP="00696D7C">
      <w:r>
        <w:t xml:space="preserve">The following were the model results of the calibration. </w:t>
      </w:r>
    </w:p>
    <w:tbl>
      <w:tblPr>
        <w:tblStyle w:val="TableGrid"/>
        <w:tblW w:w="0" w:type="auto"/>
        <w:jc w:val="center"/>
        <w:tblLook w:val="04A0" w:firstRow="1" w:lastRow="0" w:firstColumn="1" w:lastColumn="0" w:noHBand="0" w:noVBand="1"/>
      </w:tblPr>
      <w:tblGrid>
        <w:gridCol w:w="2425"/>
        <w:gridCol w:w="2160"/>
      </w:tblGrid>
      <w:tr w:rsidR="00360D88" w:rsidRPr="00BD7047" w14:paraId="6C774FE2" w14:textId="77777777" w:rsidTr="00B66E44">
        <w:trPr>
          <w:jc w:val="center"/>
        </w:trPr>
        <w:tc>
          <w:tcPr>
            <w:tcW w:w="4585" w:type="dxa"/>
            <w:gridSpan w:val="2"/>
            <w:shd w:val="clear" w:color="auto" w:fill="7FC0DB" w:themeFill="accent1" w:themeFillTint="99"/>
          </w:tcPr>
          <w:p w14:paraId="5A0E2A3D" w14:textId="451CB9FF" w:rsidR="00360D88" w:rsidRPr="00BD7047" w:rsidRDefault="00360D88" w:rsidP="00B66E44">
            <w:pPr>
              <w:jc w:val="center"/>
              <w:rPr>
                <w:b/>
                <w:bCs/>
              </w:rPr>
            </w:pPr>
            <w:r>
              <w:rPr>
                <w:b/>
                <w:bCs/>
              </w:rPr>
              <w:t>Calibrated Parameter Values</w:t>
            </w:r>
          </w:p>
        </w:tc>
      </w:tr>
      <w:tr w:rsidR="00360D88" w14:paraId="19B9A655" w14:textId="77777777" w:rsidTr="00B66E44">
        <w:trPr>
          <w:jc w:val="center"/>
        </w:trPr>
        <w:tc>
          <w:tcPr>
            <w:tcW w:w="2425" w:type="dxa"/>
            <w:shd w:val="clear" w:color="auto" w:fill="FFFFFF" w:themeFill="background1"/>
          </w:tcPr>
          <w:p w14:paraId="38407641" w14:textId="21642E65" w:rsidR="00360D88" w:rsidRDefault="000A34A4" w:rsidP="00B66E44">
            <w:r>
              <w:t>Alpha α</w:t>
            </w:r>
          </w:p>
        </w:tc>
        <w:tc>
          <w:tcPr>
            <w:tcW w:w="2160" w:type="dxa"/>
            <w:shd w:val="clear" w:color="auto" w:fill="FFFFFF" w:themeFill="background1"/>
          </w:tcPr>
          <w:p w14:paraId="1C057DD9" w14:textId="7C14C8F8" w:rsidR="00360D88" w:rsidRDefault="00360D88" w:rsidP="00B66E44">
            <w:r w:rsidRPr="00360D88">
              <w:t>0.30985707</w:t>
            </w:r>
          </w:p>
        </w:tc>
      </w:tr>
      <w:tr w:rsidR="00360D88" w14:paraId="61E917BB" w14:textId="77777777" w:rsidTr="00B66E44">
        <w:trPr>
          <w:jc w:val="center"/>
        </w:trPr>
        <w:tc>
          <w:tcPr>
            <w:tcW w:w="2425" w:type="dxa"/>
            <w:shd w:val="clear" w:color="auto" w:fill="FFFFFF" w:themeFill="background1"/>
          </w:tcPr>
          <w:p w14:paraId="022EBCB6" w14:textId="2F8EEC72" w:rsidR="00360D88" w:rsidRDefault="00360D88" w:rsidP="00B66E44">
            <w:r>
              <w:t xml:space="preserve">Beta </w:t>
            </w:r>
            <w:r>
              <w:rPr>
                <w:rFonts w:cstheme="minorHAnsi"/>
              </w:rPr>
              <w:t>β</w:t>
            </w:r>
          </w:p>
        </w:tc>
        <w:tc>
          <w:tcPr>
            <w:tcW w:w="2160" w:type="dxa"/>
            <w:shd w:val="clear" w:color="auto" w:fill="FFFFFF" w:themeFill="background1"/>
          </w:tcPr>
          <w:p w14:paraId="560A3D93" w14:textId="53A46BC2" w:rsidR="00360D88" w:rsidRDefault="000A34A4" w:rsidP="00B66E44">
            <w:r w:rsidRPr="000A34A4">
              <w:t>0.50549342</w:t>
            </w:r>
          </w:p>
        </w:tc>
      </w:tr>
      <w:tr w:rsidR="00360D88" w14:paraId="38EE3FBE" w14:textId="77777777" w:rsidTr="00B66E44">
        <w:trPr>
          <w:jc w:val="center"/>
        </w:trPr>
        <w:tc>
          <w:tcPr>
            <w:tcW w:w="2425" w:type="dxa"/>
            <w:shd w:val="clear" w:color="auto" w:fill="FFFFFF" w:themeFill="background1"/>
          </w:tcPr>
          <w:p w14:paraId="46403DEB" w14:textId="1D00A8A8" w:rsidR="00360D88" w:rsidRDefault="000A34A4" w:rsidP="00B66E44">
            <w:r>
              <w:t>Sigma σ</w:t>
            </w:r>
          </w:p>
        </w:tc>
        <w:tc>
          <w:tcPr>
            <w:tcW w:w="2160" w:type="dxa"/>
            <w:shd w:val="clear" w:color="auto" w:fill="FFFFFF" w:themeFill="background1"/>
          </w:tcPr>
          <w:p w14:paraId="29944A2C" w14:textId="3DCD4CB2" w:rsidR="00360D88" w:rsidRDefault="00360D88" w:rsidP="00B66E44">
            <w:r w:rsidRPr="00360D88">
              <w:t>0.46633875</w:t>
            </w:r>
          </w:p>
        </w:tc>
      </w:tr>
    </w:tbl>
    <w:p w14:paraId="786248AB" w14:textId="3CE13642" w:rsidR="00DF7BB0" w:rsidRDefault="000F0700" w:rsidP="00185101">
      <w:pPr>
        <w:jc w:val="center"/>
      </w:pPr>
      <w:r>
        <w:rPr>
          <w:noProof/>
        </w:rPr>
        <w:lastRenderedPageBreak/>
        <w:drawing>
          <wp:inline distT="0" distB="0" distL="0" distR="0" wp14:anchorId="0A2A24E4" wp14:editId="723C3872">
            <wp:extent cx="2844800" cy="202661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945" cy="2039542"/>
                    </a:xfrm>
                    <a:prstGeom prst="rect">
                      <a:avLst/>
                    </a:prstGeom>
                    <a:noFill/>
                    <a:ln>
                      <a:noFill/>
                    </a:ln>
                  </pic:spPr>
                </pic:pic>
              </a:graphicData>
            </a:graphic>
          </wp:inline>
        </w:drawing>
      </w:r>
    </w:p>
    <w:p w14:paraId="16690159" w14:textId="77777777" w:rsidR="00BD7047" w:rsidRDefault="00BD7047" w:rsidP="00BD7047">
      <w:pPr>
        <w:pStyle w:val="Heading2"/>
      </w:pPr>
      <w:bookmarkStart w:id="9" w:name="_Toc102219567"/>
      <w:r>
        <w:t>Swaption Valuation</w:t>
      </w:r>
      <w:bookmarkEnd w:id="9"/>
    </w:p>
    <w:p w14:paraId="733634BC" w14:textId="6FBFB322" w:rsidR="00BD7047" w:rsidRDefault="00BD7047" w:rsidP="00ED6E56">
      <w:r>
        <w:t xml:space="preserve">Swaptions were valued using the Monte Carlo method discussed above. The following are the terms of a sample swaption taken for which the prices were calculated. </w:t>
      </w:r>
    </w:p>
    <w:tbl>
      <w:tblPr>
        <w:tblStyle w:val="TableGrid"/>
        <w:tblW w:w="0" w:type="auto"/>
        <w:jc w:val="center"/>
        <w:tblLook w:val="04A0" w:firstRow="1" w:lastRow="0" w:firstColumn="1" w:lastColumn="0" w:noHBand="0" w:noVBand="1"/>
      </w:tblPr>
      <w:tblGrid>
        <w:gridCol w:w="2425"/>
        <w:gridCol w:w="2160"/>
      </w:tblGrid>
      <w:tr w:rsidR="00BD7047" w14:paraId="29D5FFED" w14:textId="77777777" w:rsidTr="00A05348">
        <w:trPr>
          <w:jc w:val="center"/>
        </w:trPr>
        <w:tc>
          <w:tcPr>
            <w:tcW w:w="4585" w:type="dxa"/>
            <w:gridSpan w:val="2"/>
            <w:shd w:val="clear" w:color="auto" w:fill="7FC0DB" w:themeFill="accent1" w:themeFillTint="99"/>
          </w:tcPr>
          <w:p w14:paraId="663C7305" w14:textId="4F324975" w:rsidR="00BD7047" w:rsidRPr="00BD7047" w:rsidRDefault="00BD7047" w:rsidP="00BD7047">
            <w:pPr>
              <w:jc w:val="center"/>
              <w:rPr>
                <w:b/>
                <w:bCs/>
              </w:rPr>
            </w:pPr>
            <w:r w:rsidRPr="00BD7047">
              <w:rPr>
                <w:b/>
                <w:bCs/>
              </w:rPr>
              <w:t>Sample Dummy Swaption</w:t>
            </w:r>
          </w:p>
        </w:tc>
      </w:tr>
      <w:tr w:rsidR="00BD7047" w14:paraId="25640445" w14:textId="77777777" w:rsidTr="0003232F">
        <w:trPr>
          <w:jc w:val="center"/>
        </w:trPr>
        <w:tc>
          <w:tcPr>
            <w:tcW w:w="2425" w:type="dxa"/>
            <w:shd w:val="clear" w:color="auto" w:fill="FFFFFF" w:themeFill="background1"/>
          </w:tcPr>
          <w:p w14:paraId="11C7EAC3" w14:textId="493D1EF5" w:rsidR="00BD7047" w:rsidRDefault="00BD7047" w:rsidP="00ED6E56">
            <w:r>
              <w:t>Option Term</w:t>
            </w:r>
          </w:p>
        </w:tc>
        <w:tc>
          <w:tcPr>
            <w:tcW w:w="2160" w:type="dxa"/>
            <w:shd w:val="clear" w:color="auto" w:fill="FFFFFF" w:themeFill="background1"/>
          </w:tcPr>
          <w:p w14:paraId="3D85EF24" w14:textId="6EE78DCD" w:rsidR="00BD7047" w:rsidRDefault="00BD7047" w:rsidP="00ED6E56">
            <w:r>
              <w:t>2 years</w:t>
            </w:r>
          </w:p>
        </w:tc>
      </w:tr>
      <w:tr w:rsidR="00BD7047" w14:paraId="25825FDB" w14:textId="77777777" w:rsidTr="0003232F">
        <w:trPr>
          <w:jc w:val="center"/>
        </w:trPr>
        <w:tc>
          <w:tcPr>
            <w:tcW w:w="2425" w:type="dxa"/>
            <w:shd w:val="clear" w:color="auto" w:fill="FFFFFF" w:themeFill="background1"/>
          </w:tcPr>
          <w:p w14:paraId="09049D6B" w14:textId="6BF825F0" w:rsidR="00BD7047" w:rsidRDefault="00BD7047" w:rsidP="00ED6E56">
            <w:r>
              <w:t>Swap Term</w:t>
            </w:r>
          </w:p>
        </w:tc>
        <w:tc>
          <w:tcPr>
            <w:tcW w:w="2160" w:type="dxa"/>
            <w:shd w:val="clear" w:color="auto" w:fill="FFFFFF" w:themeFill="background1"/>
          </w:tcPr>
          <w:p w14:paraId="1117B6E4" w14:textId="5FD4CC9B" w:rsidR="00BD7047" w:rsidRDefault="00BD7047" w:rsidP="00ED6E56">
            <w:r>
              <w:t>4 years</w:t>
            </w:r>
          </w:p>
        </w:tc>
      </w:tr>
      <w:tr w:rsidR="00BD7047" w14:paraId="5015C020" w14:textId="77777777" w:rsidTr="0003232F">
        <w:trPr>
          <w:jc w:val="center"/>
        </w:trPr>
        <w:tc>
          <w:tcPr>
            <w:tcW w:w="2425" w:type="dxa"/>
            <w:shd w:val="clear" w:color="auto" w:fill="FFFFFF" w:themeFill="background1"/>
          </w:tcPr>
          <w:p w14:paraId="15A42735" w14:textId="7260A112" w:rsidR="00BD7047" w:rsidRDefault="00BD7047" w:rsidP="00ED6E56">
            <w:r>
              <w:t>Swap Rate/Strike Rate</w:t>
            </w:r>
          </w:p>
        </w:tc>
        <w:tc>
          <w:tcPr>
            <w:tcW w:w="2160" w:type="dxa"/>
            <w:shd w:val="clear" w:color="auto" w:fill="FFFFFF" w:themeFill="background1"/>
          </w:tcPr>
          <w:p w14:paraId="5580DD24" w14:textId="5479F6A0" w:rsidR="00BD7047" w:rsidRDefault="00BD7047" w:rsidP="00ED6E56">
            <w:r>
              <w:t xml:space="preserve">4% </w:t>
            </w:r>
          </w:p>
        </w:tc>
      </w:tr>
      <w:tr w:rsidR="00BD7047" w14:paraId="2DDE5CE6" w14:textId="77777777" w:rsidTr="0003232F">
        <w:trPr>
          <w:jc w:val="center"/>
        </w:trPr>
        <w:tc>
          <w:tcPr>
            <w:tcW w:w="2425" w:type="dxa"/>
            <w:shd w:val="clear" w:color="auto" w:fill="FFFFFF" w:themeFill="background1"/>
          </w:tcPr>
          <w:p w14:paraId="6D78768C" w14:textId="533C35E3" w:rsidR="00BD7047" w:rsidRDefault="00BD7047" w:rsidP="00ED6E56">
            <w:r>
              <w:t>Payment Freq</w:t>
            </w:r>
          </w:p>
        </w:tc>
        <w:tc>
          <w:tcPr>
            <w:tcW w:w="2160" w:type="dxa"/>
            <w:shd w:val="clear" w:color="auto" w:fill="FFFFFF" w:themeFill="background1"/>
          </w:tcPr>
          <w:p w14:paraId="4168BA6B" w14:textId="1448D27F" w:rsidR="00BD7047" w:rsidRDefault="00BD7047" w:rsidP="00ED6E56">
            <w:r>
              <w:t>2 payments per year</w:t>
            </w:r>
          </w:p>
        </w:tc>
      </w:tr>
      <w:tr w:rsidR="00BD7047" w14:paraId="6891F89A" w14:textId="77777777" w:rsidTr="0003232F">
        <w:trPr>
          <w:jc w:val="center"/>
        </w:trPr>
        <w:tc>
          <w:tcPr>
            <w:tcW w:w="2425" w:type="dxa"/>
            <w:shd w:val="clear" w:color="auto" w:fill="FFFFFF" w:themeFill="background1"/>
          </w:tcPr>
          <w:p w14:paraId="06E41E97" w14:textId="661F6780" w:rsidR="00BD7047" w:rsidRDefault="00BD7047" w:rsidP="00ED6E56">
            <w:r>
              <w:t>Notional</w:t>
            </w:r>
          </w:p>
        </w:tc>
        <w:tc>
          <w:tcPr>
            <w:tcW w:w="2160" w:type="dxa"/>
            <w:shd w:val="clear" w:color="auto" w:fill="FFFFFF" w:themeFill="background1"/>
          </w:tcPr>
          <w:p w14:paraId="78762C64" w14:textId="1CD3CA0A" w:rsidR="00BD7047" w:rsidRDefault="00BD7047" w:rsidP="00ED6E56">
            <w:r>
              <w:t>100000</w:t>
            </w:r>
          </w:p>
        </w:tc>
      </w:tr>
      <w:tr w:rsidR="00360D88" w14:paraId="365BB356" w14:textId="77777777" w:rsidTr="0003232F">
        <w:trPr>
          <w:jc w:val="center"/>
        </w:trPr>
        <w:tc>
          <w:tcPr>
            <w:tcW w:w="2425" w:type="dxa"/>
            <w:shd w:val="clear" w:color="auto" w:fill="FFFFFF" w:themeFill="background1"/>
          </w:tcPr>
          <w:p w14:paraId="487C154B" w14:textId="4733A35F" w:rsidR="00360D88" w:rsidRDefault="00360D88" w:rsidP="00ED6E56">
            <w:r>
              <w:t xml:space="preserve">Calculated Value </w:t>
            </w:r>
          </w:p>
        </w:tc>
        <w:tc>
          <w:tcPr>
            <w:tcW w:w="2160" w:type="dxa"/>
            <w:shd w:val="clear" w:color="auto" w:fill="FFFFFF" w:themeFill="background1"/>
          </w:tcPr>
          <w:p w14:paraId="5B49B96F" w14:textId="415FF3DB" w:rsidR="00360D88" w:rsidRDefault="00360D88" w:rsidP="00ED6E56">
            <w:r w:rsidRPr="00360D88">
              <w:t>$ 89.1526</w:t>
            </w:r>
          </w:p>
        </w:tc>
      </w:tr>
    </w:tbl>
    <w:p w14:paraId="0FA4E3E7" w14:textId="78733898" w:rsidR="00360D88" w:rsidRDefault="00BD7047" w:rsidP="00ED6E56">
      <w:pPr>
        <w:jc w:val="left"/>
      </w:pPr>
      <w:r>
        <w:t xml:space="preserve">Next, the prices were plotted as a function of </w:t>
      </w:r>
      <w:r w:rsidR="00360D88">
        <w:t>swap rates.</w:t>
      </w:r>
    </w:p>
    <w:p w14:paraId="18B9999D" w14:textId="700628A9" w:rsidR="00360D88" w:rsidRDefault="00360D88" w:rsidP="00ED6E56">
      <w:pPr>
        <w:jc w:val="left"/>
      </w:pPr>
      <w:r>
        <w:tab/>
      </w:r>
      <w:r>
        <w:rPr>
          <w:noProof/>
        </w:rPr>
        <w:drawing>
          <wp:inline distT="0" distB="0" distL="0" distR="0" wp14:anchorId="75E4E0C5" wp14:editId="4B7DA517">
            <wp:extent cx="4761865" cy="3397250"/>
            <wp:effectExtent l="19050" t="19050" r="19685" b="1270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3397250"/>
                    </a:xfrm>
                    <a:prstGeom prst="rect">
                      <a:avLst/>
                    </a:prstGeom>
                    <a:noFill/>
                    <a:ln>
                      <a:solidFill>
                        <a:schemeClr val="tx1"/>
                      </a:solidFill>
                    </a:ln>
                  </pic:spPr>
                </pic:pic>
              </a:graphicData>
            </a:graphic>
          </wp:inline>
        </w:drawing>
      </w:r>
      <w:r w:rsidR="00BD7047">
        <w:t xml:space="preserve"> </w:t>
      </w:r>
    </w:p>
    <w:p w14:paraId="237410D7" w14:textId="06721676" w:rsidR="00ED6E56" w:rsidRDefault="00360D88" w:rsidP="00ED6E56">
      <w:pPr>
        <w:jc w:val="left"/>
      </w:pPr>
      <w:r>
        <w:t>The code for this calculation (Monte Carlo implementation) can be found in the code file provided separately.</w:t>
      </w:r>
    </w:p>
    <w:p w14:paraId="6D2839B0" w14:textId="450BD7BE" w:rsidR="00843BB6" w:rsidRDefault="00843BB6" w:rsidP="00843BB6">
      <w:pPr>
        <w:pStyle w:val="Heading1"/>
      </w:pPr>
      <w:bookmarkStart w:id="10" w:name="_Toc102219568"/>
      <w:r>
        <w:lastRenderedPageBreak/>
        <w:t>Appendix</w:t>
      </w:r>
      <w:bookmarkEnd w:id="10"/>
      <w:r>
        <w:t xml:space="preserve"> </w:t>
      </w:r>
    </w:p>
    <w:p w14:paraId="7260720E" w14:textId="790481B6" w:rsidR="0003232F" w:rsidRDefault="0003232F" w:rsidP="0003232F"/>
    <w:p w14:paraId="3CF1226C" w14:textId="74A31A52" w:rsidR="0003232F" w:rsidRPr="0003232F" w:rsidRDefault="0003232F" w:rsidP="0003232F">
      <w:pPr>
        <w:pStyle w:val="Heading2"/>
      </w:pPr>
      <w:bookmarkStart w:id="11" w:name="_Toc102219569"/>
      <w:r>
        <w:t>References</w:t>
      </w:r>
      <w:bookmarkEnd w:id="11"/>
      <w:r>
        <w:t xml:space="preserve"> </w:t>
      </w:r>
    </w:p>
    <w:p w14:paraId="173E9495" w14:textId="56D6C935" w:rsidR="00843BB6" w:rsidRDefault="00843BB6" w:rsidP="00843BB6"/>
    <w:p w14:paraId="08F1CF1F" w14:textId="5796BF26" w:rsidR="00843BB6" w:rsidRDefault="00843BB6" w:rsidP="00843BB6">
      <w:pPr>
        <w:rPr>
          <w:rStyle w:val="Hyperlink"/>
        </w:rPr>
      </w:pPr>
      <w:r>
        <w:t xml:space="preserve">[1] = </w:t>
      </w:r>
      <w:hyperlink r:id="rId10" w:history="1">
        <w:r>
          <w:rPr>
            <w:rStyle w:val="Hyperlink"/>
          </w:rPr>
          <w:t>Resource Center | U.S. Department of the Treasury</w:t>
        </w:r>
      </w:hyperlink>
    </w:p>
    <w:p w14:paraId="51CD3CD5" w14:textId="4FC803A0" w:rsidR="0003232F" w:rsidRDefault="0003232F" w:rsidP="00843BB6">
      <w:r>
        <w:t xml:space="preserve">[2] - </w:t>
      </w:r>
      <w:hyperlink r:id="rId11" w:history="1">
        <w:r w:rsidRPr="00142561">
          <w:rPr>
            <w:rStyle w:val="Hyperlink"/>
          </w:rPr>
          <w:t>http://www-2.rotman.utoronto.ca/~hull/technicalnotes/TechnicalNote23.pdf</w:t>
        </w:r>
      </w:hyperlink>
    </w:p>
    <w:p w14:paraId="4CBFD46A" w14:textId="217417D4" w:rsidR="0003232F" w:rsidRDefault="0003232F" w:rsidP="0003232F">
      <w:r>
        <w:t>[</w:t>
      </w:r>
      <w:r>
        <w:t>3</w:t>
      </w:r>
      <w:r>
        <w:t xml:space="preserve">] - </w:t>
      </w:r>
      <w:hyperlink r:id="rId12" w:history="1">
        <w:r w:rsidR="001E481C">
          <w:rPr>
            <w:rStyle w:val="Hyperlink"/>
          </w:rPr>
          <w:t>Swaption - Guide to Swap Options (investopedia.com)</w:t>
        </w:r>
      </w:hyperlink>
    </w:p>
    <w:p w14:paraId="083F99CF" w14:textId="469BEB1E" w:rsidR="0003232F" w:rsidRDefault="0003232F" w:rsidP="0003232F">
      <w:r>
        <w:t>[</w:t>
      </w:r>
      <w:r>
        <w:t>4</w:t>
      </w:r>
      <w:r>
        <w:t xml:space="preserve">] </w:t>
      </w:r>
      <w:r w:rsidR="001E481C">
        <w:t>–</w:t>
      </w:r>
      <w:r>
        <w:t xml:space="preserve"> </w:t>
      </w:r>
      <w:proofErr w:type="gramStart"/>
      <w:r w:rsidR="001E481C">
        <w:t>Book :</w:t>
      </w:r>
      <w:proofErr w:type="gramEnd"/>
      <w:r w:rsidR="001E481C">
        <w:t xml:space="preserve"> </w:t>
      </w:r>
      <w:r w:rsidR="001E481C" w:rsidRPr="001E481C">
        <w:t>Options, Futures, and Other Derivatives 9th Edition by John C. Hull</w:t>
      </w:r>
      <w:r w:rsidR="001E481C">
        <w:t>- Chapter 28-32</w:t>
      </w:r>
    </w:p>
    <w:p w14:paraId="41A4436E" w14:textId="2121334D" w:rsidR="0003232F" w:rsidRDefault="0003232F" w:rsidP="0003232F">
      <w:r>
        <w:t>[</w:t>
      </w:r>
      <w:r>
        <w:t>5</w:t>
      </w:r>
      <w:r>
        <w:t xml:space="preserve">] </w:t>
      </w:r>
      <w:r w:rsidR="001E481C">
        <w:t>–</w:t>
      </w:r>
      <w:r>
        <w:t xml:space="preserve"> </w:t>
      </w:r>
      <w:r w:rsidR="001E481C">
        <w:t xml:space="preserve">Book: </w:t>
      </w:r>
      <w:r w:rsidR="001E481C" w:rsidRPr="001E481C">
        <w:t xml:space="preserve">Monte Carlo Methods </w:t>
      </w:r>
      <w:proofErr w:type="gramStart"/>
      <w:r w:rsidR="001E481C" w:rsidRPr="001E481C">
        <w:t>In</w:t>
      </w:r>
      <w:proofErr w:type="gramEnd"/>
      <w:r w:rsidR="001E481C" w:rsidRPr="001E481C">
        <w:t xml:space="preserve"> Financial Engineering</w:t>
      </w:r>
      <w:r w:rsidR="001E481C">
        <w:t xml:space="preserve"> – Section 3.5</w:t>
      </w:r>
    </w:p>
    <w:p w14:paraId="302BEFE3" w14:textId="139DB118" w:rsidR="00843BB6" w:rsidRDefault="00843BB6" w:rsidP="00843BB6"/>
    <w:p w14:paraId="239FB06D" w14:textId="65E009EB" w:rsidR="0003232F" w:rsidRPr="00843BB6" w:rsidRDefault="0003232F" w:rsidP="00843BB6"/>
    <w:sectPr w:rsidR="0003232F" w:rsidRPr="0084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2381"/>
    <w:multiLevelType w:val="hybridMultilevel"/>
    <w:tmpl w:val="C4744CA0"/>
    <w:lvl w:ilvl="0" w:tplc="30FE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C648F"/>
    <w:multiLevelType w:val="hybridMultilevel"/>
    <w:tmpl w:val="C8F26608"/>
    <w:lvl w:ilvl="0" w:tplc="780851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21069">
    <w:abstractNumId w:val="1"/>
  </w:num>
  <w:num w:numId="2" w16cid:durableId="5197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78"/>
    <w:rsid w:val="0003232F"/>
    <w:rsid w:val="00074844"/>
    <w:rsid w:val="000A34A4"/>
    <w:rsid w:val="000F0700"/>
    <w:rsid w:val="000F5294"/>
    <w:rsid w:val="00144602"/>
    <w:rsid w:val="00185101"/>
    <w:rsid w:val="001920A2"/>
    <w:rsid w:val="001E481C"/>
    <w:rsid w:val="00210E46"/>
    <w:rsid w:val="002830B8"/>
    <w:rsid w:val="002F7EFF"/>
    <w:rsid w:val="00360D88"/>
    <w:rsid w:val="003B20DF"/>
    <w:rsid w:val="003D0378"/>
    <w:rsid w:val="00500182"/>
    <w:rsid w:val="00507A84"/>
    <w:rsid w:val="00536707"/>
    <w:rsid w:val="00571803"/>
    <w:rsid w:val="00572DCA"/>
    <w:rsid w:val="00591FCE"/>
    <w:rsid w:val="005A61A8"/>
    <w:rsid w:val="00696D7C"/>
    <w:rsid w:val="00843BB6"/>
    <w:rsid w:val="008D011A"/>
    <w:rsid w:val="008F0B7B"/>
    <w:rsid w:val="00901C5D"/>
    <w:rsid w:val="00921090"/>
    <w:rsid w:val="00952F19"/>
    <w:rsid w:val="00974252"/>
    <w:rsid w:val="00A05348"/>
    <w:rsid w:val="00A44C5B"/>
    <w:rsid w:val="00AB4997"/>
    <w:rsid w:val="00AF4B09"/>
    <w:rsid w:val="00BA0244"/>
    <w:rsid w:val="00BD7047"/>
    <w:rsid w:val="00C57939"/>
    <w:rsid w:val="00C829F9"/>
    <w:rsid w:val="00CD015F"/>
    <w:rsid w:val="00D41B4E"/>
    <w:rsid w:val="00D97618"/>
    <w:rsid w:val="00DF277B"/>
    <w:rsid w:val="00DF7BB0"/>
    <w:rsid w:val="00EC1341"/>
    <w:rsid w:val="00ED415A"/>
    <w:rsid w:val="00E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D108"/>
  <w15:docId w15:val="{CD0570AD-1F3A-46F6-B745-C4BD744C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88"/>
  </w:style>
  <w:style w:type="paragraph" w:styleId="Heading1">
    <w:name w:val="heading 1"/>
    <w:basedOn w:val="Normal"/>
    <w:next w:val="Normal"/>
    <w:link w:val="Heading1Char"/>
    <w:uiPriority w:val="9"/>
    <w:qFormat/>
    <w:rsid w:val="00952F1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52F1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52F1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52F1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52F19"/>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952F19"/>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952F19"/>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952F19"/>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952F19"/>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F19"/>
    <w:rPr>
      <w:smallCaps/>
      <w:spacing w:val="5"/>
      <w:sz w:val="28"/>
      <w:szCs w:val="28"/>
    </w:rPr>
  </w:style>
  <w:style w:type="paragraph" w:styleId="Title">
    <w:name w:val="Title"/>
    <w:basedOn w:val="Normal"/>
    <w:next w:val="Normal"/>
    <w:link w:val="TitleChar"/>
    <w:uiPriority w:val="10"/>
    <w:qFormat/>
    <w:rsid w:val="00952F19"/>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52F19"/>
    <w:rPr>
      <w:smallCaps/>
      <w:color w:val="262626" w:themeColor="text1" w:themeTint="D9"/>
      <w:sz w:val="52"/>
      <w:szCs w:val="52"/>
    </w:rPr>
  </w:style>
  <w:style w:type="character" w:customStyle="1" w:styleId="Heading1Char">
    <w:name w:val="Heading 1 Char"/>
    <w:basedOn w:val="DefaultParagraphFont"/>
    <w:link w:val="Heading1"/>
    <w:uiPriority w:val="9"/>
    <w:rsid w:val="00952F19"/>
    <w:rPr>
      <w:smallCaps/>
      <w:spacing w:val="5"/>
      <w:sz w:val="32"/>
      <w:szCs w:val="32"/>
    </w:rPr>
  </w:style>
  <w:style w:type="character" w:styleId="PlaceholderText">
    <w:name w:val="Placeholder Text"/>
    <w:basedOn w:val="DefaultParagraphFont"/>
    <w:uiPriority w:val="99"/>
    <w:semiHidden/>
    <w:rsid w:val="008D011A"/>
    <w:rPr>
      <w:color w:val="808080"/>
    </w:rPr>
  </w:style>
  <w:style w:type="paragraph" w:styleId="ListParagraph">
    <w:name w:val="List Paragraph"/>
    <w:basedOn w:val="Normal"/>
    <w:uiPriority w:val="34"/>
    <w:qFormat/>
    <w:rsid w:val="00C829F9"/>
    <w:pPr>
      <w:ind w:left="720"/>
      <w:contextualSpacing/>
    </w:pPr>
  </w:style>
  <w:style w:type="character" w:styleId="Hyperlink">
    <w:name w:val="Hyperlink"/>
    <w:basedOn w:val="DefaultParagraphFont"/>
    <w:uiPriority w:val="99"/>
    <w:unhideWhenUsed/>
    <w:rsid w:val="00843BB6"/>
    <w:rPr>
      <w:color w:val="0000FF"/>
      <w:u w:val="single"/>
    </w:rPr>
  </w:style>
  <w:style w:type="table" w:styleId="TableGrid">
    <w:name w:val="Table Grid"/>
    <w:basedOn w:val="TableNormal"/>
    <w:uiPriority w:val="39"/>
    <w:rsid w:val="00BD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52F19"/>
    <w:rPr>
      <w:smallCaps/>
      <w:spacing w:val="5"/>
      <w:sz w:val="24"/>
      <w:szCs w:val="24"/>
    </w:rPr>
  </w:style>
  <w:style w:type="character" w:customStyle="1" w:styleId="Heading4Char">
    <w:name w:val="Heading 4 Char"/>
    <w:basedOn w:val="DefaultParagraphFont"/>
    <w:link w:val="Heading4"/>
    <w:uiPriority w:val="9"/>
    <w:semiHidden/>
    <w:rsid w:val="00952F19"/>
    <w:rPr>
      <w:i/>
      <w:iCs/>
      <w:smallCaps/>
      <w:spacing w:val="10"/>
      <w:sz w:val="22"/>
      <w:szCs w:val="22"/>
    </w:rPr>
  </w:style>
  <w:style w:type="character" w:customStyle="1" w:styleId="Heading5Char">
    <w:name w:val="Heading 5 Char"/>
    <w:basedOn w:val="DefaultParagraphFont"/>
    <w:link w:val="Heading5"/>
    <w:uiPriority w:val="9"/>
    <w:semiHidden/>
    <w:rsid w:val="00952F19"/>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952F19"/>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952F19"/>
    <w:rPr>
      <w:b/>
      <w:bCs/>
      <w:smallCaps/>
      <w:color w:val="2683C6" w:themeColor="accent6"/>
      <w:spacing w:val="10"/>
    </w:rPr>
  </w:style>
  <w:style w:type="character" w:customStyle="1" w:styleId="Heading8Char">
    <w:name w:val="Heading 8 Char"/>
    <w:basedOn w:val="DefaultParagraphFont"/>
    <w:link w:val="Heading8"/>
    <w:uiPriority w:val="9"/>
    <w:semiHidden/>
    <w:rsid w:val="00952F19"/>
    <w:rPr>
      <w:b/>
      <w:bCs/>
      <w:i/>
      <w:iCs/>
      <w:smallCaps/>
      <w:color w:val="1C6194" w:themeColor="accent6" w:themeShade="BF"/>
    </w:rPr>
  </w:style>
  <w:style w:type="character" w:customStyle="1" w:styleId="Heading9Char">
    <w:name w:val="Heading 9 Char"/>
    <w:basedOn w:val="DefaultParagraphFont"/>
    <w:link w:val="Heading9"/>
    <w:uiPriority w:val="9"/>
    <w:semiHidden/>
    <w:rsid w:val="00952F19"/>
    <w:rPr>
      <w:b/>
      <w:bCs/>
      <w:i/>
      <w:iCs/>
      <w:smallCaps/>
      <w:color w:val="134163" w:themeColor="accent6" w:themeShade="80"/>
    </w:rPr>
  </w:style>
  <w:style w:type="paragraph" w:styleId="Caption">
    <w:name w:val="caption"/>
    <w:basedOn w:val="Normal"/>
    <w:next w:val="Normal"/>
    <w:uiPriority w:val="35"/>
    <w:semiHidden/>
    <w:unhideWhenUsed/>
    <w:qFormat/>
    <w:rsid w:val="00952F19"/>
    <w:rPr>
      <w:b/>
      <w:bCs/>
      <w:caps/>
      <w:sz w:val="16"/>
      <w:szCs w:val="16"/>
    </w:rPr>
  </w:style>
  <w:style w:type="paragraph" w:styleId="Subtitle">
    <w:name w:val="Subtitle"/>
    <w:basedOn w:val="Normal"/>
    <w:next w:val="Normal"/>
    <w:link w:val="SubtitleChar"/>
    <w:uiPriority w:val="11"/>
    <w:qFormat/>
    <w:rsid w:val="00952F1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52F19"/>
    <w:rPr>
      <w:rFonts w:asciiTheme="majorHAnsi" w:eastAsiaTheme="majorEastAsia" w:hAnsiTheme="majorHAnsi" w:cstheme="majorBidi"/>
    </w:rPr>
  </w:style>
  <w:style w:type="character" w:styleId="Strong">
    <w:name w:val="Strong"/>
    <w:uiPriority w:val="22"/>
    <w:qFormat/>
    <w:rsid w:val="00952F19"/>
    <w:rPr>
      <w:b/>
      <w:bCs/>
      <w:color w:val="2683C6" w:themeColor="accent6"/>
    </w:rPr>
  </w:style>
  <w:style w:type="character" w:styleId="Emphasis">
    <w:name w:val="Emphasis"/>
    <w:uiPriority w:val="20"/>
    <w:qFormat/>
    <w:rsid w:val="00952F19"/>
    <w:rPr>
      <w:b/>
      <w:bCs/>
      <w:i/>
      <w:iCs/>
      <w:spacing w:val="10"/>
    </w:rPr>
  </w:style>
  <w:style w:type="paragraph" w:styleId="NoSpacing">
    <w:name w:val="No Spacing"/>
    <w:uiPriority w:val="1"/>
    <w:qFormat/>
    <w:rsid w:val="00952F19"/>
    <w:pPr>
      <w:spacing w:after="0" w:line="240" w:lineRule="auto"/>
    </w:pPr>
  </w:style>
  <w:style w:type="paragraph" w:styleId="Quote">
    <w:name w:val="Quote"/>
    <w:basedOn w:val="Normal"/>
    <w:next w:val="Normal"/>
    <w:link w:val="QuoteChar"/>
    <w:uiPriority w:val="29"/>
    <w:qFormat/>
    <w:rsid w:val="00952F19"/>
    <w:rPr>
      <w:i/>
      <w:iCs/>
    </w:rPr>
  </w:style>
  <w:style w:type="character" w:customStyle="1" w:styleId="QuoteChar">
    <w:name w:val="Quote Char"/>
    <w:basedOn w:val="DefaultParagraphFont"/>
    <w:link w:val="Quote"/>
    <w:uiPriority w:val="29"/>
    <w:rsid w:val="00952F19"/>
    <w:rPr>
      <w:i/>
      <w:iCs/>
    </w:rPr>
  </w:style>
  <w:style w:type="paragraph" w:styleId="IntenseQuote">
    <w:name w:val="Intense Quote"/>
    <w:basedOn w:val="Normal"/>
    <w:next w:val="Normal"/>
    <w:link w:val="IntenseQuoteChar"/>
    <w:uiPriority w:val="30"/>
    <w:qFormat/>
    <w:rsid w:val="00952F19"/>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52F19"/>
    <w:rPr>
      <w:b/>
      <w:bCs/>
      <w:i/>
      <w:iCs/>
    </w:rPr>
  </w:style>
  <w:style w:type="character" w:styleId="SubtleEmphasis">
    <w:name w:val="Subtle Emphasis"/>
    <w:uiPriority w:val="19"/>
    <w:qFormat/>
    <w:rsid w:val="00952F19"/>
    <w:rPr>
      <w:i/>
      <w:iCs/>
    </w:rPr>
  </w:style>
  <w:style w:type="character" w:styleId="IntenseEmphasis">
    <w:name w:val="Intense Emphasis"/>
    <w:uiPriority w:val="21"/>
    <w:qFormat/>
    <w:rsid w:val="00952F19"/>
    <w:rPr>
      <w:b/>
      <w:bCs/>
      <w:i/>
      <w:iCs/>
      <w:color w:val="2683C6" w:themeColor="accent6"/>
      <w:spacing w:val="10"/>
    </w:rPr>
  </w:style>
  <w:style w:type="character" w:styleId="SubtleReference">
    <w:name w:val="Subtle Reference"/>
    <w:uiPriority w:val="31"/>
    <w:qFormat/>
    <w:rsid w:val="00952F19"/>
    <w:rPr>
      <w:b/>
      <w:bCs/>
    </w:rPr>
  </w:style>
  <w:style w:type="character" w:styleId="IntenseReference">
    <w:name w:val="Intense Reference"/>
    <w:uiPriority w:val="32"/>
    <w:qFormat/>
    <w:rsid w:val="00952F19"/>
    <w:rPr>
      <w:b/>
      <w:bCs/>
      <w:smallCaps/>
      <w:spacing w:val="5"/>
      <w:sz w:val="22"/>
      <w:szCs w:val="22"/>
      <w:u w:val="single"/>
    </w:rPr>
  </w:style>
  <w:style w:type="character" w:styleId="BookTitle">
    <w:name w:val="Book Title"/>
    <w:uiPriority w:val="33"/>
    <w:qFormat/>
    <w:rsid w:val="00952F1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52F19"/>
    <w:pPr>
      <w:outlineLvl w:val="9"/>
    </w:pPr>
  </w:style>
  <w:style w:type="character" w:styleId="UnresolvedMention">
    <w:name w:val="Unresolved Mention"/>
    <w:basedOn w:val="DefaultParagraphFont"/>
    <w:uiPriority w:val="99"/>
    <w:semiHidden/>
    <w:unhideWhenUsed/>
    <w:rsid w:val="0003232F"/>
    <w:rPr>
      <w:color w:val="605E5C"/>
      <w:shd w:val="clear" w:color="auto" w:fill="E1DFDD"/>
    </w:rPr>
  </w:style>
  <w:style w:type="paragraph" w:styleId="TOC1">
    <w:name w:val="toc 1"/>
    <w:basedOn w:val="Normal"/>
    <w:next w:val="Normal"/>
    <w:autoRedefine/>
    <w:uiPriority w:val="39"/>
    <w:unhideWhenUsed/>
    <w:rsid w:val="001E481C"/>
    <w:pPr>
      <w:spacing w:after="100"/>
    </w:pPr>
  </w:style>
  <w:style w:type="paragraph" w:styleId="TOC2">
    <w:name w:val="toc 2"/>
    <w:basedOn w:val="Normal"/>
    <w:next w:val="Normal"/>
    <w:autoRedefine/>
    <w:uiPriority w:val="39"/>
    <w:unhideWhenUsed/>
    <w:rsid w:val="001E481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129">
      <w:bodyDiv w:val="1"/>
      <w:marLeft w:val="0"/>
      <w:marRight w:val="0"/>
      <w:marTop w:val="0"/>
      <w:marBottom w:val="0"/>
      <w:divBdr>
        <w:top w:val="none" w:sz="0" w:space="0" w:color="auto"/>
        <w:left w:val="none" w:sz="0" w:space="0" w:color="auto"/>
        <w:bottom w:val="none" w:sz="0" w:space="0" w:color="auto"/>
        <w:right w:val="none" w:sz="0" w:space="0" w:color="auto"/>
      </w:divBdr>
      <w:divsChild>
        <w:div w:id="1826386446">
          <w:marLeft w:val="0"/>
          <w:marRight w:val="0"/>
          <w:marTop w:val="0"/>
          <w:marBottom w:val="0"/>
          <w:divBdr>
            <w:top w:val="none" w:sz="0" w:space="0" w:color="auto"/>
            <w:left w:val="none" w:sz="0" w:space="0" w:color="auto"/>
            <w:bottom w:val="none" w:sz="0" w:space="0" w:color="auto"/>
            <w:right w:val="none" w:sz="0" w:space="0" w:color="auto"/>
          </w:divBdr>
          <w:divsChild>
            <w:div w:id="1468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6382">
      <w:bodyDiv w:val="1"/>
      <w:marLeft w:val="0"/>
      <w:marRight w:val="0"/>
      <w:marTop w:val="0"/>
      <w:marBottom w:val="0"/>
      <w:divBdr>
        <w:top w:val="none" w:sz="0" w:space="0" w:color="auto"/>
        <w:left w:val="none" w:sz="0" w:space="0" w:color="auto"/>
        <w:bottom w:val="none" w:sz="0" w:space="0" w:color="auto"/>
        <w:right w:val="none" w:sz="0" w:space="0" w:color="auto"/>
      </w:divBdr>
      <w:divsChild>
        <w:div w:id="1361394020">
          <w:marLeft w:val="0"/>
          <w:marRight w:val="0"/>
          <w:marTop w:val="0"/>
          <w:marBottom w:val="0"/>
          <w:divBdr>
            <w:top w:val="none" w:sz="0" w:space="0" w:color="auto"/>
            <w:left w:val="none" w:sz="0" w:space="0" w:color="auto"/>
            <w:bottom w:val="none" w:sz="0" w:space="0" w:color="auto"/>
            <w:right w:val="none" w:sz="0" w:space="0" w:color="auto"/>
          </w:divBdr>
          <w:divsChild>
            <w:div w:id="10844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investopedia.com/terms/s/swaptio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2.rotman.utoronto.ca/~hull/technicalnotes/TechnicalNote23.pdf" TargetMode="External"/><Relationship Id="rId5" Type="http://schemas.openxmlformats.org/officeDocument/2006/relationships/webSettings" Target="webSettings.xml"/><Relationship Id="rId10" Type="http://schemas.openxmlformats.org/officeDocument/2006/relationships/hyperlink" Target="https://home.treasury.gov/resource-center/data-chart-center/interest-rates/TextView?type=daily_treasury_yield_curve&amp;field_tdr_date_value_month=20220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My%20Drive\Projects\Monte_Carlo_Simulations\Monte_Carlo_Simulations\Projec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Spot Rates from Bootstrapping</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cked"/>
        <c:varyColors val="0"/>
        <c:ser>
          <c:idx val="0"/>
          <c:order val="0"/>
          <c:spPr>
            <a:ln w="34925" cap="rnd">
              <a:solidFill>
                <a:schemeClr val="lt1"/>
              </a:solidFill>
              <a:round/>
            </a:ln>
            <a:effectLst>
              <a:outerShdw dist="25400" dir="2700000" algn="tl" rotWithShape="0">
                <a:schemeClr val="accent1"/>
              </a:outerShdw>
            </a:effectLst>
          </c:spPr>
          <c:marker>
            <c:symbol val="none"/>
          </c:marker>
          <c:val>
            <c:numRef>
              <c:f>Bootstrapping!$J$3:$J$32</c:f>
              <c:numCache>
                <c:formatCode>General</c:formatCode>
                <c:ptCount val="30"/>
                <c:pt idx="0">
                  <c:v>3.209846524511617</c:v>
                </c:pt>
                <c:pt idx="1">
                  <c:v>3.4434258337582291</c:v>
                </c:pt>
                <c:pt idx="2">
                  <c:v>3.412389015827455</c:v>
                </c:pt>
                <c:pt idx="3">
                  <c:v>3.3120864435663755</c:v>
                </c:pt>
                <c:pt idx="4">
                  <c:v>3.2628656451196392</c:v>
                </c:pt>
                <c:pt idx="5">
                  <c:v>3.2212435267888972</c:v>
                </c:pt>
                <c:pt idx="6">
                  <c:v>3.1947410082342032</c:v>
                </c:pt>
                <c:pt idx="7">
                  <c:v>3.1453262515282354</c:v>
                </c:pt>
                <c:pt idx="8">
                  <c:v>3.1026437072944946</c:v>
                </c:pt>
                <c:pt idx="9">
                  <c:v>3.0646200968155402</c:v>
                </c:pt>
                <c:pt idx="10">
                  <c:v>3.0817645460609056</c:v>
                </c:pt>
                <c:pt idx="11">
                  <c:v>3.1012217717912627</c:v>
                </c:pt>
                <c:pt idx="12">
                  <c:v>3.1225699180963851</c:v>
                </c:pt>
                <c:pt idx="13">
                  <c:v>3.1455150526463749</c:v>
                </c:pt>
                <c:pt idx="14">
                  <c:v>3.1698490872336116</c:v>
                </c:pt>
                <c:pt idx="15">
                  <c:v>3.1954235436896017</c:v>
                </c:pt>
                <c:pt idx="16">
                  <c:v>3.2221326456881361</c:v>
                </c:pt>
                <c:pt idx="17">
                  <c:v>3.2499021166017661</c:v>
                </c:pt>
                <c:pt idx="18">
                  <c:v>3.2786815894643384</c:v>
                </c:pt>
                <c:pt idx="19">
                  <c:v>3.3084393743449736</c:v>
                </c:pt>
                <c:pt idx="20">
                  <c:v>3.2747129286432752</c:v>
                </c:pt>
                <c:pt idx="21">
                  <c:v>3.2417355747617727</c:v>
                </c:pt>
                <c:pt idx="22">
                  <c:v>3.2093865182004855</c:v>
                </c:pt>
                <c:pt idx="23">
                  <c:v>3.177566103373608</c:v>
                </c:pt>
                <c:pt idx="24">
                  <c:v>3.1461916514784471</c:v>
                </c:pt>
                <c:pt idx="25">
                  <c:v>3.115194258125431</c:v>
                </c:pt>
                <c:pt idx="26">
                  <c:v>3.0845163013213828</c:v>
                </c:pt>
                <c:pt idx="27">
                  <c:v>3.0541094817100101</c:v>
                </c:pt>
                <c:pt idx="28">
                  <c:v>3.0239332661436524</c:v>
                </c:pt>
                <c:pt idx="29">
                  <c:v>2.9939536400699573</c:v>
                </c:pt>
              </c:numCache>
            </c:numRef>
          </c:val>
          <c:smooth val="0"/>
          <c:extLst>
            <c:ext xmlns:c16="http://schemas.microsoft.com/office/drawing/2014/chart" uri="{C3380CC4-5D6E-409C-BE32-E72D297353CC}">
              <c16:uniqueId val="{00000000-8207-4810-B907-FD364339C91F}"/>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971018959"/>
        <c:axId val="971021871"/>
      </c:lineChart>
      <c:catAx>
        <c:axId val="97101895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971021871"/>
        <c:crosses val="autoZero"/>
        <c:auto val="1"/>
        <c:lblAlgn val="ctr"/>
        <c:lblOffset val="100"/>
        <c:noMultiLvlLbl val="0"/>
      </c:catAx>
      <c:valAx>
        <c:axId val="971021871"/>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Rate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7101895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0962D-3856-497D-9E83-1CD254B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Thakur</dc:creator>
  <cp:keywords/>
  <dc:description/>
  <cp:lastModifiedBy>Siddharth Thakur</cp:lastModifiedBy>
  <cp:revision>11</cp:revision>
  <cp:lastPrinted>2022-04-30T19:03:00Z</cp:lastPrinted>
  <dcterms:created xsi:type="dcterms:W3CDTF">2022-04-30T14:27:00Z</dcterms:created>
  <dcterms:modified xsi:type="dcterms:W3CDTF">2022-04-30T19:03:00Z</dcterms:modified>
</cp:coreProperties>
</file>