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PCOS Management Protocol -- India 2024</w:t>
      </w:r>
    </w:p>
    <w:p>
      <w:r>
        <w:t>Version: 3.2  |  Reviewed: September 2024  |  Next Review: September 2025</w:t>
      </w:r>
    </w:p>
    <w:p>
      <w:r>
        <w:t>Authors: Dr. Sunanda Rao (Endocrinology) | Dr. Kavita Pillai (Gynaecology) | Mankind Medical Affairs</w:t>
      </w:r>
    </w:p>
    <w:p>
      <w:r>
        <w:t>Classification: INTERNAL CLINICAL PROTOCOL -- MR TRAINING USE ONLY</w:t>
      </w:r>
    </w:p>
    <w:p/>
    <w:p>
      <w:pPr>
        <w:pStyle w:val="Heading2"/>
      </w:pPr>
      <w:r>
        <w:t>1. Diagnostic Criteria (Rotterdam 2003 -- India Adapted)</w:t>
      </w:r>
    </w:p>
    <w:p>
      <w:r>
        <w:t>Diagnosis: 2 of 3 criteria present, after excluding other causes:</w:t>
      </w:r>
    </w:p>
    <w:p>
      <w:pPr>
        <w:pStyle w:val="ListBullet"/>
      </w:pPr>
      <w:r>
        <w:t>Oligo/anovulation: &lt;8 menstrual cycles/year OR cycle length &gt;35 days</w:t>
      </w:r>
    </w:p>
    <w:p>
      <w:pPr>
        <w:pStyle w:val="ListBullet"/>
      </w:pPr>
      <w:r>
        <w:t>Clinical hyperandrogenism (hirsutism, acne, alopecia) OR raised total/free testosterone</w:t>
      </w:r>
    </w:p>
    <w:p>
      <w:pPr>
        <w:pStyle w:val="ListBullet"/>
      </w:pPr>
      <w:r>
        <w:t>PCOM on ultrasound: &gt;=20 follicles per ovary (2.5-9 mm) OR ovarian volume &gt;10 mL</w:t>
      </w:r>
    </w:p>
    <w:p>
      <w:r>
        <w:t>India-specific note: AMH &gt;4.0 ng/mL supports diagnosis. Lean PCOS (BMI &lt;23) accounts for 20-30% of Indian cases -- do not dismiss based on BMI alone.</w:t>
      </w:r>
    </w:p>
    <w:p>
      <w:pPr>
        <w:pStyle w:val="Heading2"/>
      </w:pPr>
      <w:r>
        <w:t>2. First-Line Treatment Algorithm</w:t>
      </w:r>
    </w:p>
    <w:p>
      <w:r>
        <w:t>Step 1: Lifestyle Modification (ALL patients -- mandatory)</w:t>
      </w:r>
    </w:p>
    <w:p>
      <w:pPr>
        <w:pStyle w:val="ListBullet"/>
      </w:pPr>
      <w:r>
        <w:t>Weight loss 5-10% body weight if BMI &gt;23 kg/m2 (Indian cut-off)</w:t>
      </w:r>
    </w:p>
    <w:p>
      <w:pPr>
        <w:pStyle w:val="ListBullet"/>
      </w:pPr>
      <w:r>
        <w:t>Mediterranean-style diet + 150 min/week aerobic activity</w:t>
      </w:r>
    </w:p>
    <w:p>
      <w:pPr>
        <w:pStyle w:val="ListBullet"/>
      </w:pPr>
      <w:r>
        <w:t>Expected: menstrual regularity restoration in 30-40% of overweight patients</w:t>
      </w:r>
    </w:p>
    <w:p/>
    <w:p>
      <w:r>
        <w:t>Step 2A: Menstrual Regulation (fertility NOT desired)</w:t>
      </w:r>
    </w:p>
    <w:p>
      <w:pPr>
        <w:pStyle w:val="ListBullet"/>
      </w:pPr>
      <w:r>
        <w:t>Combined OCP (EE 20-30 mcg + desogestrel/drospirenone): first choice</w:t>
      </w:r>
    </w:p>
    <w:p>
      <w:pPr>
        <w:pStyle w:val="ListBullet"/>
      </w:pPr>
      <w:r>
        <w:t>MANKIND-DRSP (drospirenone 3 mg + EE 20 mcg): preferred for anti-androgenic effect</w:t>
      </w:r>
    </w:p>
    <w:p>
      <w:pPr>
        <w:pStyle w:val="ListBullet"/>
      </w:pPr>
      <w:r>
        <w:t>Cyclic progesterone (MPA 10 mg x 10 days/month): if OCP contraindicated</w:t>
      </w:r>
    </w:p>
    <w:p/>
    <w:p>
      <w:r>
        <w:t>Step 2B: Insulin Resistance Management</w:t>
      </w:r>
    </w:p>
    <w:p>
      <w:pPr>
        <w:pStyle w:val="ListBullet"/>
      </w:pPr>
      <w:r>
        <w:t>Metformin 500 mg BD (titrate to 1000 mg BD over 4 weeks): first choice in IR-PCOS</w:t>
      </w:r>
    </w:p>
    <w:p>
      <w:pPr>
        <w:pStyle w:val="ListBullet"/>
      </w:pPr>
      <w:r>
        <w:t>MANKIND-M (Metformin SR): preferred for better GI tolerability</w:t>
      </w:r>
    </w:p>
    <w:p>
      <w:pPr>
        <w:pStyle w:val="ListBullet"/>
      </w:pPr>
      <w:r>
        <w:t>Inositol (myo-inositol 4 g/day, 40:1 myo:d-chiro ratio): strong alternative in lean PCOS</w:t>
      </w:r>
    </w:p>
    <w:p>
      <w:pPr>
        <w:pStyle w:val="ListBullet"/>
      </w:pPr>
      <w:r>
        <w:t>Expected: HbA1c reduction 0.5-0.8%; menstrual regularity improvement 40-50%</w:t>
      </w:r>
    </w:p>
    <w:p>
      <w:pPr>
        <w:pStyle w:val="Heading2"/>
      </w:pPr>
      <w:r>
        <w:t>3. Fertility Management (ovulation induction)</w:t>
      </w:r>
    </w:p>
    <w:p>
      <w:pPr>
        <w:pStyle w:val="ListBullet"/>
      </w:pPr>
      <w:r>
        <w:t>Letrozole 2.5-5 mg D2-D6: FIRST LINE (supersedes clomiphene per ESHRE 2023)</w:t>
      </w:r>
    </w:p>
    <w:p>
      <w:pPr>
        <w:pStyle w:val="ListBullet"/>
      </w:pPr>
      <w:r>
        <w:t>Clomiphene citrate 50-150 mg D2-D6: second line; max 6 cycles</w:t>
      </w:r>
    </w:p>
    <w:p>
      <w:pPr>
        <w:pStyle w:val="ListBullet"/>
      </w:pPr>
      <w:r>
        <w:t>Add metformin if BMI &gt;25 kg/m2 or HOMA-IR &gt;2.5 (improves ovulation rate 15-20%)</w:t>
      </w:r>
    </w:p>
    <w:p>
      <w:pPr>
        <w:pStyle w:val="ListBullet"/>
      </w:pPr>
      <w:r>
        <w:t>Refer for IVF/IUI after 6 failed ovulation induction cycles</w:t>
      </w:r>
    </w:p>
    <w:p>
      <w:pPr>
        <w:pStyle w:val="Heading2"/>
      </w:pPr>
      <w:r>
        <w:t>4. Long-Term Metabolic Monitoring (Annual)</w:t>
      </w:r>
    </w:p>
    <w:p>
      <w:pPr>
        <w:pStyle w:val="ListBullet"/>
      </w:pPr>
      <w:r>
        <w:t>Fasting glucose + 2h OGTT (T2DM risk 3-7x higher in PCOS)</w:t>
      </w:r>
    </w:p>
    <w:p>
      <w:pPr>
        <w:pStyle w:val="ListBullet"/>
      </w:pPr>
      <w:r>
        <w:t>Fasting lipid profile (dyslipidaemia in 70% of PCOS)</w:t>
      </w:r>
    </w:p>
    <w:p>
      <w:pPr>
        <w:pStyle w:val="ListBullet"/>
      </w:pPr>
      <w:r>
        <w:t>Thyroid function TSH (hypothyroidism 2-3x more prevalent in PCOS)</w:t>
      </w:r>
    </w:p>
    <w:p>
      <w:pPr>
        <w:pStyle w:val="ListBullet"/>
      </w:pPr>
      <w:r>
        <w:t>Blood pressure (HTN risk 3x higher by age 40-50)</w:t>
      </w:r>
    </w:p>
    <w:p>
      <w:pPr>
        <w:pStyle w:val="ListBullet"/>
      </w:pPr>
      <w:r>
        <w:t>Endometrial thickness USS if &gt;12 months amenorrhoea</w:t>
      </w:r>
    </w:p>
    <w:p>
      <w:pPr>
        <w:pStyle w:val="Heading2"/>
      </w:pPr>
      <w:r>
        <w:t>5. Mankind Portfolio for PCOS</w:t>
      </w:r>
    </w:p>
    <w:p>
      <w:r>
        <w:t>MANKIND-DRSP (COCP)  |  MANKIND-M (Metformin SR)  |  MANKIND-LET (Letrozole). Combined addressable market: ~INR 340 crore in PCOS segment (FY25 estimate). MR pitch priority: gynaecologists and endocrinologists in metros + Tier-1 cities.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Sunanda Rao, Medical Affairs, Mankind Pharma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