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SGLT2 Inhibitors: Clinical Evidence Summary</w:t>
      </w:r>
    </w:p>
    <w:p>
      <w:r>
        <w:t>Document Type: Internal Clinical Summary  |  Q4 2024</w:t>
      </w:r>
    </w:p>
    <w:p>
      <w:r>
        <w:t>Prepared by: Medical Affairs, Mankind Pharma  |  CONFIDENTIAL</w:t>
      </w:r>
    </w:p>
    <w:p/>
    <w:p>
      <w:pPr>
        <w:pStyle w:val="Heading2"/>
      </w:pPr>
      <w:r>
        <w:t>1. Overview</w:t>
      </w:r>
    </w:p>
    <w:p>
      <w:r>
        <w:t>SGLT2 inhibitors (sodium-glucose co-transporter-2 inhibitors) reduce blood glucose by blocking glucose reabsorption in the proximal convoluted tubule. Key molecules: empagliflozin (Jardiance), dapagliflozin (Farxiga), canagliflozin (Invokana). Now indicated beyond T2DM — heart failure and CKD regardless of glycaemic status.</w:t>
      </w:r>
    </w:p>
    <w:p>
      <w:pPr>
        <w:pStyle w:val="Heading2"/>
      </w:pPr>
      <w:r>
        <w:t>2. EMPA-REG OUTCOME — Key Efficacy Data</w:t>
      </w:r>
    </w:p>
    <w:p>
      <w:r>
        <w:rPr>
          <w:b/>
        </w:rPr>
        <w:t>Primary Endpoint:</w:t>
      </w:r>
      <w:r>
        <w:t xml:space="preserve"> MACE reduced by 14% vs placebo (HR 0.86, 95% CI 0.74-0.99; p=0.04).</w:t>
      </w:r>
    </w:p>
    <w:p>
      <w:r>
        <w:rPr>
          <w:b/>
        </w:rPr>
        <w:t>CV Death:</w:t>
      </w:r>
      <w:r>
        <w:t xml:space="preserve"> 38% relative risk reduction (HR 0.62, 95% CI 0.49-0.77; p&lt;0.001).</w:t>
      </w:r>
    </w:p>
    <w:p>
      <w:r>
        <w:rPr>
          <w:b/>
        </w:rPr>
        <w:t>HF Hospitalisation:</w:t>
      </w:r>
      <w:r>
        <w:t xml:space="preserve"> 35% relative risk reduction (HR 0.65, 95% CI 0.50-0.85; p=0.002).</w:t>
      </w:r>
    </w:p>
    <w:p>
      <w:r>
        <w:rPr>
          <w:b/>
        </w:rPr>
        <w:t>Renal Composite:</w:t>
      </w:r>
      <w:r>
        <w:t xml:space="preserve"> 39% RRR in renal progression endpoint.</w:t>
      </w:r>
    </w:p>
    <w:p>
      <w:pPr>
        <w:pStyle w:val="Heading2"/>
      </w:pPr>
      <w:r>
        <w:t>3. Indian Real-World Evidence (Mankind Internal, 2024)</w:t>
      </w:r>
    </w:p>
    <w:p>
      <w:r>
        <w:t>Multi-centre registry, n=2,847 T2DM patients, 18 centres, 2022-2024:</w:t>
      </w:r>
    </w:p>
    <w:p>
      <w:pPr>
        <w:pStyle w:val="ListBullet"/>
      </w:pPr>
      <w:r>
        <w:t>Mean HbA1c reduction: 1.2% (empagliflozin 10 mg) vs 0.8% (standard care) at 6 months</w:t>
      </w:r>
    </w:p>
    <w:p>
      <w:pPr>
        <w:pStyle w:val="ListBullet"/>
      </w:pPr>
      <w:r>
        <w:t>Body weight reduction: 2.8 kg vs 0.4 kg over 12 months</w:t>
      </w:r>
    </w:p>
    <w:p>
      <w:pPr>
        <w:pStyle w:val="ListBullet"/>
      </w:pPr>
      <w:r>
        <w:t>eGFR preservation: 94% maintained eGFR &gt;60 at 2 years vs 87% standard care</w:t>
      </w:r>
    </w:p>
    <w:p>
      <w:pPr>
        <w:pStyle w:val="ListBullet"/>
      </w:pPr>
      <w:r>
        <w:t>Genital mycotic infections: 4.1% — manageable with standard hygiene counselling</w:t>
      </w:r>
    </w:p>
    <w:p>
      <w:pPr>
        <w:pStyle w:val="ListBullet"/>
      </w:pPr>
      <w:r>
        <w:t>Highest benefit: patients with established CVD or CKD (eGFR 30-60)</w:t>
      </w:r>
    </w:p>
    <w:p>
      <w:pPr>
        <w:pStyle w:val="Heading2"/>
      </w:pPr>
      <w:r>
        <w:t>4. 2025 ESC / ADA-EASD Positioning</w:t>
      </w:r>
    </w:p>
    <w:p>
      <w:r>
        <w:t>SGLT2 inhibitors hold Class I, Level A recommendation in 2025 ESC Heart Failure guidelines for all HF patients — HFrEF and HFpEF alike — regardless of diabetes status. ADA/EASD 2025 consensus recommends SGLT2i as first-line alongside metformin for any T2DM patient with HF, CKD, or established ASCVD.</w:t>
      </w:r>
    </w:p>
    <w:p>
      <w:pPr>
        <w:pStyle w:val="Heading2"/>
      </w:pPr>
      <w:r>
        <w:t>5. Competitive Landscape &amp; Mankind Positioning</w:t>
      </w:r>
    </w:p>
    <w:p>
      <w:r>
        <w:t>Key competitors: Boehringer Ingelheim (Jardiance), AstraZeneca (Forxiga), J&amp;J (Invokana). Mankind advantage: 30-40% MRP advantage, equivalent efficacy, Indian registry data to back claims. Target MRs to lead with the HF/CKD story — expands the prescriber base beyond diabetologists.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Prashant Agarwal, Medical Affairs, Mankind Pharma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