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4"/>
          <w:szCs w:val="44"/>
        </w:rPr>
        <w:t xml:space="preserve">Salary Range Prediction</w:t>
      </w:r>
    </w:p>
    <w:p>
      <w:pPr>
        <w:spacing w:after="40"/>
      </w:pPr>
      <w:r>
        <w:rPr>
          <w:color w:val="555555"/>
          <w:sz w:val="26"/>
          <w:szCs w:val="26"/>
        </w:rPr>
        <w:t xml:space="preserve">NYC Jobs Postings — Predictive Model for Salary Range From/To</w:t>
      </w:r>
    </w:p>
    <w:p>
      <w:pPr>
        <w:spacing w:after="20"/>
      </w:pPr>
      <w:r>
        <w:rPr>
          <w:sz w:val="22"/>
          <w:szCs w:val="22"/>
        </w:rPr>
        <w:t xml:space="preserve">Prepared for: Spinnaker Analytics</w:t>
      </w:r>
    </w:p>
    <w:p>
      <w:pPr>
        <w:spacing w:after="20"/>
      </w:pPr>
      <w:r>
        <w:rPr>
          <w:sz w:val="22"/>
          <w:szCs w:val="22"/>
        </w:rPr>
        <w:t xml:space="preserve">Prepared by: Siddhant Varma — Boston Institute of Analytics</w:t>
      </w:r>
    </w:p>
    <w:p>
      <w:pPr>
        <w:spacing w:after="400"/>
      </w:pPr>
      <w:r>
        <w:rPr>
          <w:sz w:val="22"/>
          <w:szCs w:val="22"/>
        </w:rPr>
        <w:t xml:space="preserve">Date: September 2026</w:t>
      </w:r>
    </w:p>
    <w:p>
      <w:pPr>
        <w:pStyle w:val="Heading1"/>
        <w:spacing w:after="150" w:before="300"/>
      </w:pPr>
      <w:r>
        <w:t xml:space="preserve">1. Executive Summary</w:t>
      </w:r>
    </w:p>
    <w:p>
      <w:pPr>
        <w:spacing w:after="150"/>
      </w:pPr>
      <w:r>
        <w:t xml:space="preserve">This project builds a machine learning model that predicts the minimum and maximum salary (Salary Range From and Salary Range To) for a New York City government job posting, using only the attributes of the posting itself — agency, title, job category, career level, and a few derived text features. The goal, per the project brief, is to support recruiters in aligning postings with market rates, giving candidates transparent expectations, and informing budget planning.</w:t>
      </w:r>
    </w:p>
    <w:p>
      <w:pPr>
        <w:spacing w:after="150"/>
      </w:pPr>
      <w:r>
        <w:t xml:space="preserve">The dataset (5,120 raw postings) required real cleanup before modelling: roughly half were duplicate postings under the same Job ID, and salaries were mixed across three different pay frequencies (Annual, Hourly, Daily) that aren't directly comparable. After de-duplication and normalising every salary to an annualised basis, 2,615 unique postings remained for training and evaluation.</w:t>
      </w:r>
    </w:p>
    <w:p>
      <w:pPr>
        <w:spacing w:after="150"/>
      </w:pPr>
      <w:r>
        <w:t xml:space="preserve">Five candidate model families were compared on a held-out test set; a tuned XGBoost model performed best on both targets and was taken forward as the final solution.</w:t>
      </w:r>
    </w:p>
    <w:p>
      <w:pPr>
        <w:spacing w:after="100"/>
      </w:pPr>
      <w:r>
        <w:rPr>
          <w:b/>
          <w:bCs/>
        </w:rPr>
        <w:t xml:space="preserve">Final test-set performance: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200"/>
        <w:gridCol w:w="2200"/>
      </w:tblGrid>
      <w:tr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0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R²</w:t>
            </w:r>
          </w:p>
        </w:tc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MAE (USD)</w:t>
            </w:r>
          </w:p>
        </w:tc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RMSE (USD)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Salary Range From (annualised)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0.657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$8,177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$15,113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Salary Range To (annualised)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0.803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$11,575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$18,622</w:t>
            </w:r>
          </w:p>
        </w:tc>
      </w:tr>
    </w:tbl>
    <w:p>
      <w:pPr>
        <w:spacing w:after="200"/>
      </w:pPr>
    </w:p>
    <w:p>
      <w:pPr>
        <w:spacing w:after="150"/>
      </w:pPr>
      <w:r>
        <w:t xml:space="preserve">In practical terms: the model explains about 66% of the variation in starting salary and 80% of the variation in the top of the salary range, with a typical prediction error of roughly $8,200 (From) and $11,600 (To) against a median posting salary in the $65,000–$90,000 band. That's precise enough to flag postings that look out of line with the market, though not precise enough to set an exact number without human review.</w:t>
      </w:r>
    </w:p>
    <w:p>
      <w:pPr>
        <w:pStyle w:val="Heading1"/>
        <w:spacing w:after="150" w:before="300"/>
      </w:pPr>
      <w:r>
        <w:t xml:space="preserve">2. Data Overview</w:t>
      </w:r>
    </w:p>
    <w:p>
      <w:pPr>
        <w:spacing w:after="150"/>
      </w:pPr>
      <w:r>
        <w:t xml:space="preserve">Source: Jobs_NYC_Postings.csv, provided by Spinnaker Analytics, with an accompanying data dictionary describing all 30 columns. The data spans postings across 59 city agencies and 183 job-category combinations.</w:t>
      </w:r>
    </w:p>
    <w:p>
      <w:pPr>
        <w:pStyle w:val="Heading2"/>
        <w:spacing w:after="120" w:before="240"/>
      </w:pPr>
      <w:r>
        <w:t xml:space="preserve">2.1 Data quality issues identified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Duplicate postings: 2,494 of 5,120 rows shared a Job ID with at least one other row. Inspection confirmed these were exact reposts (e.g. the same role listed once as "Internal" and once as "External") with identical salary figures — not conflicting records — so duplicates were safely dropped, keeping the first occurrence.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Mixed salary frequency: postings were listed as Annual (4,686), Hourly (384), or Daily (50). Comparing these directly would be meaningless — a $22/hour listing looks like it pays far less than a $70,000/year listing when in fact it may pay more. Every salary was converted to an annualised figure (hourly × 40 × 52; daily × 5 × 52) before modelling.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Zero-value salaries: 23 postings had a Salary Range From of 0 under the Annual frequency — a data-entry gap rather than a real salary floor. These were removed rather than imputed, since a plausible-looking guess would misrepresent the ground truth.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High-cardinality text fields: Civil Service Title (365 unique values) and Job Category (183 unique values) carry real signal about seniority and pay grade but are too fragmented for one-hot encoding. These were handled with smoothed, cross-validated target encoding rather than dropped or naively one-hot encoded.</w:t>
      </w:r>
    </w:p>
    <w:p>
      <w:pPr>
        <w:pStyle w:val="Heading2"/>
        <w:spacing w:after="120" w:before="240"/>
      </w:pPr>
      <w:r>
        <w:t xml:space="preserve">2.2 Salary distribution</w:t>
      </w:r>
    </w:p>
    <w:p>
      <w:pPr>
        <w:spacing w:after="60" w:before="100"/>
        <w:jc w:val="center"/>
      </w:pPr>
      <w:r>
        <w:drawing>
          <wp:inline distT="0" distB="0" distL="0" distR="0">
            <wp:extent cx="5524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1. Distribution of annualised starting and ceiling salaries across all postings.</w:t>
      </w:r>
    </w:p>
    <w:p>
      <w:pPr>
        <w:spacing w:after="60" w:before="100"/>
        <w:jc w:val="center"/>
      </w:pPr>
      <w:r>
        <w:drawing>
          <wp:inline distT="0" distB="0" distL="0" distR="0">
            <wp:extent cx="4762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2. Starting salary spread across the 10 most active agencies.</w:t>
      </w:r>
    </w:p>
    <w:p>
      <w:pPr>
        <w:spacing w:after="60" w:before="100"/>
        <w:jc w:val="center"/>
      </w:pPr>
      <w:r>
        <w:drawing>
          <wp:inline distT="0" distB="0" distL="0" distR="0">
            <wp:extent cx="4381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3. Starting salary by career level, showing the expected step-up from student through executive roles.</w:t>
      </w:r>
    </w:p>
    <w:p>
      <w:pPr>
        <w:pStyle w:val="Heading1"/>
        <w:spacing w:after="150" w:before="300"/>
      </w:pPr>
      <w:r>
        <w:t xml:space="preserve">3. Methodology</w:t>
      </w:r>
    </w:p>
    <w:p>
      <w:pPr>
        <w:pStyle w:val="Heading2"/>
        <w:spacing w:after="120" w:before="240"/>
      </w:pPr>
      <w:r>
        <w:t xml:space="preserve">3.1 Cleaning and feature engineering</w:t>
      </w:r>
    </w:p>
    <w:p>
      <w:pPr>
        <w:spacing w:after="150"/>
      </w:pPr>
      <w:r>
        <w:t xml:space="preserve">After de-duplication and salary normalisation, the following features were engineered for modelling: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Categorical: Agency, Posting Type, Job Category, Full-Time/Part-Time indicator, Career Level, Level, Title Classification, Civil Service Title.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Numeric: number of positions, job-description word count, qualifications word count, whether preferred skills were listed, posting month.</w:t>
      </w:r>
    </w:p>
    <w:p>
      <w:pPr>
        <w:spacing w:after="150"/>
      </w:pPr>
      <w:r>
        <w:t xml:space="preserve">Work Location and Division/Work Unit were excluded — both are free-text fields with hundreds of near-unique values and no clean way to group them into a smaller, reusable location feature without introducing noise.</w:t>
      </w:r>
    </w:p>
    <w:p>
      <w:pPr>
        <w:pStyle w:val="Heading2"/>
        <w:spacing w:after="120" w:before="240"/>
      </w:pPr>
      <w:r>
        <w:t xml:space="preserve">3.2 Encoding strategy</w:t>
      </w:r>
    </w:p>
    <w:p>
      <w:pPr>
        <w:spacing w:after="150"/>
      </w:pPr>
      <w:r>
        <w:t xml:space="preserve">Civil Service Title and Job Category are far too granular for one-hot encoding without exploding the feature space. Instead, each categorical feature was replaced with a smoothed target encoding — the average salary midpoint for that category — computed out-of-fold (5-fold cross-validation) on the training set to prevent test-set leakage, with smoothing to pull rare categories toward the global average.</w:t>
      </w:r>
    </w:p>
    <w:p>
      <w:pPr>
        <w:pStyle w:val="Heading2"/>
        <w:spacing w:after="120" w:before="240"/>
      </w:pPr>
      <w:r>
        <w:t xml:space="preserve">3.3 Model selection</w:t>
      </w:r>
    </w:p>
    <w:p>
      <w:pPr>
        <w:spacing w:after="150"/>
      </w:pPr>
      <w:r>
        <w:t xml:space="preserve">Five model families were trained and compared on an 80/20 train-test split (random_state=42), predicting both salary targets jointly via MultiOutputRegressor: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800"/>
      </w:tblGrid>
      <w:tr>
        <w:tc>
          <w:tcPr>
            <w:tcW w:type="dxa" w:w="24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R² (From)</w:t>
            </w:r>
          </w:p>
        </w:tc>
        <w:tc>
          <w:tcPr>
            <w:tcW w:type="dxa" w:w="18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R² (To)</w:t>
            </w:r>
          </w:p>
        </w:tc>
        <w:tc>
          <w:tcPr>
            <w:tcW w:type="dxa" w:w="18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MAE From</w:t>
            </w:r>
          </w:p>
        </w:tc>
        <w:tc>
          <w:tcPr>
            <w:tcW w:type="dxa" w:w="18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MAE To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Ridge Regression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0.491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0.735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$12,117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$14,743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0.642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0.785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$8,762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$12,150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Gradient Boosting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0.622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0.789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$9,651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$12,489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XGBoost (baseline)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0.631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0.797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$8,403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$11,810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LightGBM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0.615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0.797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$9,323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$11,955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XGBoost (tuned) — final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0.657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0.803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$8,177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$11,575</w:t>
            </w:r>
          </w:p>
        </w:tc>
      </w:tr>
    </w:tbl>
    <w:p>
      <w:pPr>
        <w:spacing w:after="200"/>
      </w:pPr>
    </w:p>
    <w:p>
      <w:pPr>
        <w:spacing w:after="60" w:before="10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4. R² comparison across candidate models on the held-out test set.</w:t>
      </w:r>
    </w:p>
    <w:p>
      <w:pPr>
        <w:spacing w:after="150"/>
      </w:pPr>
      <w:r>
        <w:t xml:space="preserve">XGBoost was the clear front-runner and was carried forward for hyperparameter tuning.</w:t>
      </w:r>
    </w:p>
    <w:p>
      <w:pPr>
        <w:pStyle w:val="Heading2"/>
        <w:spacing w:after="120" w:before="240"/>
      </w:pPr>
      <w:r>
        <w:t xml:space="preserve">3.4 Hyperparameter tuning</w:t>
      </w:r>
    </w:p>
    <w:p>
      <w:pPr>
        <w:spacing w:after="150"/>
      </w:pPr>
      <w:r>
        <w:t xml:space="preserve">Separate XGBoost models were tuned for Salary From and Salary To using RandomizedSearchCV (40 iterations, 5-fold cross-validation, scored on mean absolute error), searching over tree depth, learning rate, subsampling ratio, and L1/L2 regularisation.</w:t>
      </w:r>
    </w:p>
    <w:p>
      <w:pPr>
        <w:pStyle w:val="Heading1"/>
        <w:spacing w:after="150" w:before="300"/>
      </w:pPr>
      <w:r>
        <w:t xml:space="preserve">4. Results</w:t>
      </w:r>
    </w:p>
    <w:p>
      <w:pPr>
        <w:spacing w:after="150"/>
      </w:pPr>
      <w:r>
        <w:t xml:space="preserve">Final performance on the untouched 20% test set: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200"/>
        <w:gridCol w:w="2200"/>
      </w:tblGrid>
      <w:tr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0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R²</w:t>
            </w:r>
          </w:p>
        </w:tc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MAE (USD)</w:t>
            </w:r>
          </w:p>
        </w:tc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RMSE (USD)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Salary Range From (annualised)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0.657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$8,177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$15,113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Salary Range To (annualised)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0.803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$11,575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$18,622</w:t>
            </w:r>
          </w:p>
        </w:tc>
      </w:tr>
    </w:tbl>
    <w:p>
      <w:pPr>
        <w:spacing w:after="200"/>
      </w:pPr>
    </w:p>
    <w:p>
      <w:pPr>
        <w:spacing w:after="60" w:before="100"/>
        <w:jc w:val="center"/>
      </w:pPr>
      <w:r>
        <w:drawing>
          <wp:inline distT="0" distB="0" distL="0" distR="0">
            <wp:extent cx="5524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5. Predicted vs. actual salary on the test set. Points tracking the diagonal indicate accurate predictions.</w:t>
      </w:r>
    </w:p>
    <w:p>
      <w:pPr>
        <w:spacing w:after="60" w:before="10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6. Top 10 most influential features for each target, by XGBoost feature importance.</w:t>
      </w:r>
    </w:p>
    <w:p>
      <w:pPr>
        <w:spacing w:after="150"/>
      </w:pPr>
      <w:r>
        <w:t xml:space="preserve">Civil Service Title, Job Category, and Level dominate feature importance for both targets — consistent with how NYC's civil-service compensation actually works, since pay is largely determined by formal title and grade rather than negotiated case-by-case. Salary Range To is predicted more accurately (R² = 0.80) than Salary Range From (R² = 0.66), which suggests the ceiling of a pay band is more standardised across postings than the floor, where individual agencies appear to have more discretion.</w:t>
      </w:r>
    </w:p>
    <w:p>
      <w:pPr>
        <w:pStyle w:val="Heading1"/>
        <w:spacing w:after="150" w:before="300"/>
      </w:pPr>
      <w:r>
        <w:t xml:space="preserve">5.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the model as a screening / sanity-check tool: flag postings where the predicted range differs substantially from the posted range for manual review, rather than as an automatic salary-setter.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Incorporate NYC's official civil-service pay-grade tables as an additional feature — since Civil Service Title and Level are already the strongest predictors, a direct grade-to-pay-band lookup would likely tighten the Salary Range From estimate specifically.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Track prediction error by agency over time; agencies with above-average error are the ones where the model would benefit most from additional features (e.g. union contract flags, borough/cost-of-living adjustments).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Refresh the model periodically as new postings come in — salary bands shift with city budget cycles and cost-of-living adjustments, so a model trained on a single snapshot will drift.</w:t>
      </w:r>
    </w:p>
    <w:p>
      <w:pPr>
        <w:pStyle w:val="Heading1"/>
        <w:spacing w:after="150" w:before="300"/>
      </w:pPr>
      <w:r>
        <w:t xml:space="preserve">6. Deliverables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Jupyter notebook (Salary_Range_Prediction.ipynb) — full, executed analysis with all outputs and charts.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Cleaned dataset (data/processed/jobs_cleaned.csv).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Trained models (models/salary_from_xgb.pkl, models/salary_to_xgb.pkl).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Predictions on the full dataset with train/test split flag (predictions/salary_predictions.csv) and the final scores table (predictions/model_scores.csv).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report.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0260b0c1a118eb4442f913ec00705646030039a.png"/><Relationship Id="rId8" Type="http://schemas.openxmlformats.org/officeDocument/2006/relationships/image" Target="media/823f4c6192d0f3f99f8d1ac2cb931ce31d156c93.png"/><Relationship Id="rId9" Type="http://schemas.openxmlformats.org/officeDocument/2006/relationships/image" Target="media/f3142dfce9fa4a5f44174026832ab057fa2d79e3.png"/><Relationship Id="rId10" Type="http://schemas.openxmlformats.org/officeDocument/2006/relationships/image" Target="media/e28fe9542445399a0b37658aec4327b7ea073dca.png"/><Relationship Id="rId11" Type="http://schemas.openxmlformats.org/officeDocument/2006/relationships/image" Target="media/92daa7fa44e1eff0887893cd55a0d8103ffe2834.png"/><Relationship Id="rId12" Type="http://schemas.openxmlformats.org/officeDocument/2006/relationships/image" Target="media/0f7e2d77d0031fc61d5b8915562895212db5eab9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2026-09-17T16:30:32.468Z</dcterms:created>
  <dcterms:modified xsi:type="dcterms:W3CDTF">2026-09-17T16:30:32.468Z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