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hide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&lt;unnamed&gt;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 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 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 4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rbitraryModeCellContain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