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ТЕМИ ОСВІТНЬОЇ ДІЯЛЬНОСТІ НА ЖОВТЕНЬ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89370716829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35"/>
        <w:gridCol w:w="1920"/>
        <w:gridCol w:w="5470.893707168289"/>
        <w:tblGridChange w:id="0">
          <w:tblGrid>
            <w:gridCol w:w="1635"/>
            <w:gridCol w:w="1920"/>
            <w:gridCol w:w="5470.89370716828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cc2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200" w:righ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                   </w:t>
              <w:tab/>
              <w:t xml:space="preserve">Жовтень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cc2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Тиждень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cc2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Тема тижня 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righ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(03.10-07.10)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«Родина.Сім’я»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(10.10-14.10)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«Транспорт.Правила поведінки в транспорті».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(17.10-21.10)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«Народознавство.Національна символіка».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(24.10-28.10) 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«Збирання врожаю». 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