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Bad Boss Business School</w:t>
      </w:r>
    </w:p>
    <w:p>
      <w:pPr>
        <w:pStyle w:val="Subtitle"/>
      </w:pPr>
      <w:r>
        <w:rPr>
          <w:color w:val="000000"/>
        </w:rPr>
        <w:t>Company background and management targets</w:t>
      </w:r>
    </w:p>
    <w:p>
      <w:r>
        <w:t>Bad Boss Business School is a corporate training company. It helps ambitious managers learn the skills they already seem to practise. Its courses include Advanced Micromanagement, Meetings About Future Meetings, Professional Blame Delegation, Call Until They Buy and Promise First, Ask Operations Later. Clients include ordinary companies with ordinary training budgets; the jokes are in the course names, not in the accounting.</w:t>
      </w:r>
    </w:p>
    <w:p>
      <w:r>
        <w:t>The company sells private corporate programs and seats in public open programs. Salespeople manage corporate clients and help fill open events. The program register is operations’ current delivery calendar, not a list of everything the sales team hopes to sell.</w:t>
      </w:r>
    </w:p>
    <w:p>
      <w:pPr>
        <w:pStyle w:val="Heading1"/>
      </w:pPr>
      <w:r>
        <w:rPr>
          <w:color w:val="000000"/>
        </w:rPr>
        <w:t>Prices and delivery rules</w:t>
      </w:r>
    </w:p>
    <w:tbl>
      <w:tblPr>
        <w:tblStyle w:val="LightShading-Accent1"/>
        <w:tblW w:type="auto" w:w="0"/>
        <w:jc w:val="center"/>
        <w:tblLook w:firstColumn="1" w:firstRow="1" w:lastColumn="0" w:lastRow="0" w:noHBand="0" w:noVBand="1" w:val="04A0"/>
      </w:tblPr>
      <w:tblGrid>
        <w:gridCol w:w="4824"/>
        <w:gridCol w:w="4824"/>
      </w:tblGrid>
      <w:tr>
        <w:tc>
          <w:tcPr>
            <w:tcW w:type="dxa" w:w="2088"/>
            <w:vAlign w:val="center"/>
          </w:tcPr>
          <w:p>
            <w:pPr>
              <w:spacing w:after="40"/>
            </w:pPr>
            <w:r>
              <w:rPr>
                <w:sz w:val="18"/>
              </w:rPr>
              <w:t>Offer</w:t>
            </w:r>
          </w:p>
        </w:tc>
        <w:tc>
          <w:tcPr>
            <w:tcW w:type="dxa" w:w="7416"/>
            <w:vAlign w:val="center"/>
          </w:tcPr>
          <w:p>
            <w:pPr>
              <w:spacing w:after="40"/>
            </w:pPr>
            <w:r>
              <w:rPr>
                <w:sz w:val="18"/>
              </w:rPr>
              <w:t>Price and delivery assumption</w:t>
            </w:r>
          </w:p>
        </w:tc>
      </w:tr>
      <w:tr>
        <w:tc>
          <w:tcPr>
            <w:tcW w:type="dxa" w:w="2088"/>
            <w:vAlign w:val="center"/>
          </w:tcPr>
          <w:p>
            <w:pPr>
              <w:spacing w:after="40"/>
            </w:pPr>
            <w:r>
              <w:rPr>
                <w:sz w:val="18"/>
              </w:rPr>
              <w:t>Standard corporate</w:t>
            </w:r>
          </w:p>
        </w:tc>
        <w:tc>
          <w:tcPr>
            <w:tcW w:type="dxa" w:w="7416"/>
            <w:vAlign w:val="center"/>
          </w:tcPr>
          <w:p>
            <w:pPr>
              <w:spacing w:after="40"/>
            </w:pPr>
            <w:r>
              <w:rPr>
                <w:sz w:val="18"/>
              </w:rPr>
              <w:t>€2,500 per training day for up to 20 participants. Typical engagement is 1 or 2 days; the average is about 1.5 days.</w:t>
            </w:r>
          </w:p>
        </w:tc>
      </w:tr>
      <w:tr>
        <w:tc>
          <w:tcPr>
            <w:tcW w:type="dxa" w:w="2088"/>
            <w:vAlign w:val="center"/>
          </w:tcPr>
          <w:p>
            <w:pPr>
              <w:spacing w:after="40"/>
            </w:pPr>
            <w:r>
              <w:rPr>
                <w:sz w:val="18"/>
              </w:rPr>
              <w:t>Large corporate</w:t>
            </w:r>
          </w:p>
        </w:tc>
        <w:tc>
          <w:tcPr>
            <w:tcW w:type="dxa" w:w="7416"/>
            <w:vAlign w:val="center"/>
          </w:tcPr>
          <w:p>
            <w:pPr>
              <w:spacing w:after="40"/>
            </w:pPr>
            <w:r>
              <w:rPr>
                <w:sz w:val="18"/>
              </w:rPr>
              <w:t>€2,500 per day for the first 20 participants, plus €650 per day for each started additional block of 10 participants, maximum 100.</w:t>
            </w:r>
          </w:p>
        </w:tc>
      </w:tr>
      <w:tr>
        <w:tc>
          <w:tcPr>
            <w:tcW w:type="dxa" w:w="2088"/>
            <w:vAlign w:val="center"/>
          </w:tcPr>
          <w:p>
            <w:pPr>
              <w:spacing w:after="40"/>
            </w:pPr>
            <w:r>
              <w:rPr>
                <w:sz w:val="18"/>
              </w:rPr>
              <w:t>Open programs</w:t>
            </w:r>
          </w:p>
        </w:tc>
        <w:tc>
          <w:tcPr>
            <w:tcW w:type="dxa" w:w="7416"/>
            <w:vAlign w:val="center"/>
          </w:tcPr>
          <w:p>
            <w:pPr>
              <w:spacing w:after="40"/>
            </w:pPr>
            <w:r>
              <w:rPr>
                <w:sz w:val="18"/>
              </w:rPr>
              <w:t>Seat price is €200, €500 or €600 depending on the course. A normal event can assemble about 12–20 paid participants.</w:t>
            </w:r>
          </w:p>
        </w:tc>
      </w:tr>
      <w:tr>
        <w:tc>
          <w:tcPr>
            <w:tcW w:type="dxa" w:w="2088"/>
            <w:vAlign w:val="center"/>
          </w:tcPr>
          <w:p>
            <w:pPr>
              <w:spacing w:after="40"/>
            </w:pPr>
            <w:r>
              <w:rPr>
                <w:sz w:val="18"/>
              </w:rPr>
              <w:t>Delivery people</w:t>
            </w:r>
          </w:p>
        </w:tc>
        <w:tc>
          <w:tcPr>
            <w:tcW w:type="dxa" w:w="7416"/>
            <w:vAlign w:val="center"/>
          </w:tcPr>
          <w:p>
            <w:pPr>
              <w:spacing w:after="40"/>
            </w:pPr>
            <w:r>
              <w:rPr>
                <w:sz w:val="18"/>
              </w:rPr>
              <w:t>A large program needs one delivery person per 30 participants, rounded up. The first is the instructor; the remainder are assistants.</w:t>
            </w:r>
          </w:p>
        </w:tc>
      </w:tr>
      <w:tr>
        <w:tc>
          <w:tcPr>
            <w:tcW w:type="dxa" w:w="2088"/>
            <w:vAlign w:val="center"/>
          </w:tcPr>
          <w:p>
            <w:pPr>
              <w:spacing w:after="40"/>
            </w:pPr>
            <w:r>
              <w:rPr>
                <w:sz w:val="18"/>
              </w:rPr>
              <w:t>External instructor</w:t>
            </w:r>
          </w:p>
        </w:tc>
        <w:tc>
          <w:tcPr>
            <w:tcW w:type="dxa" w:w="7416"/>
            <w:vAlign w:val="center"/>
          </w:tcPr>
          <w:p>
            <w:pPr>
              <w:spacing w:after="40"/>
            </w:pPr>
            <w:r>
              <w:rPr>
                <w:sz w:val="18"/>
              </w:rPr>
              <w:t>The current planning fee is €700 per day. An assistant earns one quarter of the instructor’s daily fee.</w:t>
            </w:r>
          </w:p>
        </w:tc>
      </w:tr>
    </w:tbl>
    <w:p/>
    <w:p>
      <w:pPr>
        <w:pStyle w:val="Heading1"/>
      </w:pPr>
      <w:r>
        <w:rPr>
          <w:color w:val="000000"/>
        </w:rPr>
        <w:t>Open-program catalogue</w:t>
      </w:r>
    </w:p>
    <w:tbl>
      <w:tblPr>
        <w:tblStyle w:val="LightShading-Accent1"/>
        <w:tblW w:type="auto" w:w="0"/>
        <w:jc w:val="center"/>
        <w:tblLook w:firstColumn="1" w:firstRow="1" w:lastColumn="0" w:lastRow="0" w:noHBand="0" w:noVBand="1" w:val="04A0"/>
      </w:tblPr>
      <w:tblGrid>
        <w:gridCol w:w="3216"/>
        <w:gridCol w:w="3216"/>
        <w:gridCol w:w="3216"/>
      </w:tblGrid>
      <w:tr>
        <w:tc>
          <w:tcPr>
            <w:tcW w:type="dxa" w:w="5328"/>
            <w:vAlign w:val="center"/>
          </w:tcPr>
          <w:p>
            <w:pPr>
              <w:spacing w:after="40"/>
            </w:pPr>
            <w:r>
              <w:rPr>
                <w:sz w:val="18"/>
              </w:rPr>
              <w:t>Course</w:t>
            </w:r>
          </w:p>
        </w:tc>
        <w:tc>
          <w:tcPr>
            <w:tcW w:type="dxa" w:w="1728"/>
            <w:vAlign w:val="center"/>
          </w:tcPr>
          <w:p>
            <w:pPr>
              <w:spacing w:after="40"/>
            </w:pPr>
            <w:r>
              <w:rPr>
                <w:sz w:val="18"/>
              </w:rPr>
              <w:t>Length</w:t>
            </w:r>
          </w:p>
        </w:tc>
        <w:tc>
          <w:tcPr>
            <w:tcW w:type="dxa" w:w="1728"/>
            <w:vAlign w:val="center"/>
          </w:tcPr>
          <w:p>
            <w:pPr>
              <w:spacing w:after="40"/>
            </w:pPr>
            <w:r>
              <w:rPr>
                <w:sz w:val="18"/>
              </w:rPr>
              <w:t>Seat price</w:t>
            </w:r>
          </w:p>
        </w:tc>
      </w:tr>
      <w:tr>
        <w:tc>
          <w:tcPr>
            <w:tcW w:type="dxa" w:w="5328"/>
            <w:vAlign w:val="center"/>
          </w:tcPr>
          <w:p>
            <w:pPr>
              <w:spacing w:after="40"/>
            </w:pPr>
            <w:r>
              <w:rPr>
                <w:sz w:val="18"/>
              </w:rPr>
              <w:t>How to Look Busy All Day</w:t>
            </w:r>
          </w:p>
        </w:tc>
        <w:tc>
          <w:tcPr>
            <w:tcW w:type="dxa" w:w="1728"/>
            <w:vAlign w:val="center"/>
          </w:tcPr>
          <w:p>
            <w:pPr>
              <w:spacing w:after="40"/>
            </w:pPr>
            <w:r>
              <w:rPr>
                <w:sz w:val="18"/>
              </w:rPr>
              <w:t>1 day</w:t>
            </w:r>
          </w:p>
        </w:tc>
        <w:tc>
          <w:tcPr>
            <w:tcW w:type="dxa" w:w="1728"/>
            <w:vAlign w:val="center"/>
          </w:tcPr>
          <w:p>
            <w:pPr>
              <w:spacing w:after="40"/>
            </w:pPr>
            <w:r>
              <w:rPr>
                <w:sz w:val="18"/>
              </w:rPr>
              <w:t>€200</w:t>
            </w:r>
          </w:p>
        </w:tc>
      </w:tr>
      <w:tr>
        <w:tc>
          <w:tcPr>
            <w:tcW w:type="dxa" w:w="5328"/>
            <w:vAlign w:val="center"/>
          </w:tcPr>
          <w:p>
            <w:pPr>
              <w:spacing w:after="40"/>
            </w:pPr>
            <w:r>
              <w:rPr>
                <w:sz w:val="18"/>
              </w:rPr>
              <w:t>Advanced Micromanagement</w:t>
            </w:r>
          </w:p>
        </w:tc>
        <w:tc>
          <w:tcPr>
            <w:tcW w:type="dxa" w:w="1728"/>
            <w:vAlign w:val="center"/>
          </w:tcPr>
          <w:p>
            <w:pPr>
              <w:spacing w:after="40"/>
            </w:pPr>
            <w:r>
              <w:rPr>
                <w:sz w:val="18"/>
              </w:rPr>
              <w:t>2 days</w:t>
            </w:r>
          </w:p>
        </w:tc>
        <w:tc>
          <w:tcPr>
            <w:tcW w:type="dxa" w:w="1728"/>
            <w:vAlign w:val="center"/>
          </w:tcPr>
          <w:p>
            <w:pPr>
              <w:spacing w:after="40"/>
            </w:pPr>
            <w:r>
              <w:rPr>
                <w:sz w:val="18"/>
              </w:rPr>
              <w:t>€500</w:t>
            </w:r>
          </w:p>
        </w:tc>
      </w:tr>
      <w:tr>
        <w:tc>
          <w:tcPr>
            <w:tcW w:type="dxa" w:w="5328"/>
            <w:vAlign w:val="center"/>
          </w:tcPr>
          <w:p>
            <w:pPr>
              <w:spacing w:after="40"/>
            </w:pPr>
            <w:r>
              <w:rPr>
                <w:sz w:val="18"/>
              </w:rPr>
              <w:t>Executive Blame Delegation</w:t>
            </w:r>
          </w:p>
        </w:tc>
        <w:tc>
          <w:tcPr>
            <w:tcW w:type="dxa" w:w="1728"/>
            <w:vAlign w:val="center"/>
          </w:tcPr>
          <w:p>
            <w:pPr>
              <w:spacing w:after="40"/>
            </w:pPr>
            <w:r>
              <w:rPr>
                <w:sz w:val="18"/>
              </w:rPr>
              <w:t>2 days</w:t>
            </w:r>
          </w:p>
        </w:tc>
        <w:tc>
          <w:tcPr>
            <w:tcW w:type="dxa" w:w="1728"/>
            <w:vAlign w:val="center"/>
          </w:tcPr>
          <w:p>
            <w:pPr>
              <w:spacing w:after="40"/>
            </w:pPr>
            <w:r>
              <w:rPr>
                <w:sz w:val="18"/>
              </w:rPr>
              <w:t>€600</w:t>
            </w:r>
          </w:p>
        </w:tc>
      </w:tr>
    </w:tbl>
    <w:p/>
    <w:p>
      <w:pPr>
        <w:pStyle w:val="Heading1"/>
      </w:pPr>
      <w:r>
        <w:rPr>
          <w:color w:val="000000"/>
        </w:rPr>
        <w:t>The board’s request</w:t>
      </w:r>
    </w:p>
    <w:p>
      <w:r>
        <w:t>The board wants growth, but it will not approve sales without a credible route to customers and delivery, or profit without the required costs. The original draft aims for approximately €1 million of 2026 sales and a positive result. The board requires two separate answers: first, a red-pencil monthly P&amp;L showing what the existing decisions can reasonably produce; second, your proposed management decisions and a new monthly P&amp;L showing their effects. Compare both with the original draft on the same monthly basis.</w:t>
      </w:r>
    </w:p>
    <w:p>
      <w:r>
        <w:t>Treat VAT as outside this exercise; prices and costs in these papers exclude VAT. Income tax is not modelled. You may state other modelling assumptions, but do not use tax changes as a substitute for resolving the operational budget.</w:t>
      </w:r>
    </w:p>
    <w:sectPr w:rsidR="00FC693F" w:rsidRPr="0006063C" w:rsidSect="00034616">
      <w:footerReference w:type="default" r:id="rId9"/>
      <w:pgSz w:w="11952" w:h="1684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Bad Boss Business School  |  Management Accounting  |  2026 budget case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