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director’s 2026 plan</w:t>
      </w:r>
    </w:p>
    <w:p>
      <w:pPr>
        <w:pStyle w:val="Subtitle"/>
      </w:pPr>
      <w:r>
        <w:rPr>
          <w:color w:val="555555"/>
        </w:rPr>
        <w:t>Internal note from Mark Pressure to the board, 8 January 2026</w:t>
      </w:r>
    </w:p>
    <w:p>
      <w:r>
        <w:t>Last year’s results were poor, and the sales team needs a stronger target. The monthly budget by salesperson and product is in 05 Draft Sales Budget. The aim is roughly €1 million in sales, with corporate management training, corporate sales training and open-program seats all contributing. I have assigned a named person to every line because an unnamed target is not a plan.</w:t>
      </w:r>
    </w:p>
    <w:p>
      <w:pPr>
        <w:pStyle w:val="Heading1"/>
      </w:pPr>
      <w:r>
        <w:t>Commercial approach</w:t>
      </w:r>
    </w:p>
    <w:p>
      <w:pPr>
        <w:pStyle w:val="ListBullet"/>
      </w:pPr>
      <w:r>
        <w:t>Anna Power has strong relationships with management-training clients, including Big Chair Bank. Her pipeline is included across the year. Large clients may renew if we keep in contact.</w:t>
      </w:r>
    </w:p>
    <w:p>
      <w:pPr>
        <w:pStyle w:val="ListBullet"/>
      </w:pPr>
      <w:r>
        <w:t>Mark Pressure will continue selling corporate sales training and some open-program seats. His approach is to call more prospects and move proposals to a decision more quickly.</w:t>
      </w:r>
    </w:p>
    <w:p>
      <w:pPr>
        <w:pStyle w:val="ListBullet"/>
      </w:pPr>
      <w:r>
        <w:t>Linda Smile will grow open-program sales, especially the €500 and €600 courses. She expects companies to buy groups of seats as a cheaper alternative to a private program.</w:t>
      </w:r>
    </w:p>
    <w:p>
      <w:pPr>
        <w:pStyle w:val="ListBullet"/>
      </w:pPr>
      <w:r>
        <w:t>Peter Late has agreed to follow up more promptly. The budget assumes better production than last year, especially in the autumn.</w:t>
      </w:r>
    </w:p>
    <w:p>
      <w:pPr>
        <w:pStyle w:val="ListBullet"/>
      </w:pPr>
      <w:r>
        <w:t>Ella Fast is a promising new salesperson. Her first meaningful contracts are expected from June, and she should become a full contributor during the autumn.</w:t>
      </w:r>
    </w:p>
    <w:p>
      <w:pPr>
        <w:pStyle w:val="Heading1"/>
      </w:pPr>
      <w:r>
        <w:t>Pipeline and timing</w:t>
      </w:r>
    </w:p>
    <w:p>
      <w:r>
        <w:t>The team expects three quarters of the corporate growth from repeat clients, referrals and improved conversion. Around one quarter should come from marketing enquiries. The budget assigns sales to the month in which programs are delivered. The typical corporate sales cycle is six to eight weeks after a qualified first conversation; open-program seats often sell in the four weeks before an event. No individual contract is guaranteed unless stated in the program plan.</w:t>
      </w:r>
    </w:p>
    <w:p>
      <w:r>
        <w:t>I have not asked operations to reserve every possible date before the board approves the revenue target. Once we see which offers are accepted, we can add dates and secure trainers. We can also ask clients to move between months when dates are tight. I regard the 2026 sales budget as a challenging, achievable target, not a list of signed contracts.</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Bad Boss Business School  |  Management Accounting  |  2026 budget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