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director’s 2026 plan</w:t>
      </w:r>
    </w:p>
    <w:p>
      <w:pPr>
        <w:pStyle w:val="Subtitle"/>
      </w:pPr>
      <w:r>
        <w:rPr>
          <w:color w:val="555555"/>
        </w:rPr>
        <w:t>Internal note from Linda Smile to the board, 9 January 2026</w:t>
      </w:r>
    </w:p>
    <w:p>
      <w:r>
        <w:t>We spent heavily in 2025, and the board asked for a more efficient year. The monthly marketing appropriation is in 07 Draft Operating Costs. I plan to reduce broad paid advertising and spend more on referrals, alumni stories and direct outreach by salespeople. Our creative theme is “Become the boss everyone talks about.”</w:t>
      </w:r>
    </w:p>
    <w:p>
      <w:pPr>
        <w:pStyle w:val="Heading1"/>
      </w:pPr>
      <w:r>
        <w:t>Campaign calendar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Period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8"/>
              </w:rPr>
              <w:t>Activity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January–March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8"/>
              </w:rPr>
              <w:t>Refresh the website, produce testimonials and run light retargeting. The existing database remains available.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April–August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8"/>
              </w:rPr>
              <w:t>Two small open-program campaigns and selected corporate case studies. July activity is intentionally light.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September–November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8"/>
              </w:rPr>
              <w:t>Main new-client campaign, executive breakfast events and product launches.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December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8"/>
              </w:rPr>
              <w:t>Renewal and early-booking messages for next year.</w:t>
            </w:r>
          </w:p>
        </w:tc>
      </w:tr>
    </w:tbl>
    <w:p/>
    <w:p>
      <w:pPr>
        <w:pStyle w:val="Heading1"/>
      </w:pPr>
      <w:r>
        <w:t>Lead assumptions</w:t>
      </w:r>
    </w:p>
    <w:p>
      <w:r>
        <w:t>The campaign will mainly promote Advanced Micromanagement and Professional Blame Delegation because the names attract attention. Sales can introduce other programs after the first conversation. We expect our higher-quality creative and personal follow-up to improve lead conversion, but the team has not yet tested a new conversion rate on a full campaign. We will review enquiries monthly.</w:t>
      </w:r>
    </w:p>
    <w:p>
      <w:r>
        <w:t>The historical marketing sheet shows spend, campaigns, qualified corporate leads, corporate wins and open-program enquiries and seats. In my view the company does not need to repeat every euro of last year’s advertising to grow. The sales director owns the individual revenue target; marketing owns the activity budget above.</w:t>
      </w:r>
    </w:p>
    <w:sectPr w:rsidR="00FC693F" w:rsidRPr="0006063C" w:rsidSect="00034616">
      <w:footerReference w:type="default" r:id="rId9"/>
      <w:pgSz w:w="11952" w:h="16848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Bad Boss Business School  |  Management Accounting  |  2026 budget case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