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and trainer plan</w:t>
      </w:r>
    </w:p>
    <w:p>
      <w:pPr>
        <w:pStyle w:val="Subtitle"/>
      </w:pPr>
      <w:r>
        <w:rPr>
          <w:color w:val="555555"/>
        </w:rPr>
        <w:t>Internal note from the head of delivery, 10 January 2026</w:t>
      </w:r>
    </w:p>
    <w:p>
      <w:r>
        <w:t>The program register in 06 Draft Program Plan contains dates pencilled in by the operations team. It includes standard corporate programs, large programs and public open events, with an estimated participant count. Some are confirmed, while others are placeholders waiting for client approval. A placeholder does not reserve a trainer automatically.</w:t>
      </w:r>
    </w:p>
    <w:p>
      <w:pPr>
        <w:pStyle w:val="Heading1"/>
      </w:pPr>
      <w:r>
        <w:t>People and room capacity</w:t>
      </w:r>
    </w:p>
    <w:tbl>
      <w:tblPr>
        <w:tblStyle w:val="LightShading-Accent1"/>
        <w:tblW w:type="auto" w:w="0"/>
        <w:jc w:val="center"/>
        <w:tblLook w:firstColumn="1" w:firstRow="1" w:lastColumn="0" w:lastRow="0" w:noHBand="0" w:noVBand="1" w:val="04A0"/>
      </w:tblPr>
      <w:tblGrid>
        <w:gridCol w:w="4824"/>
        <w:gridCol w:w="4824"/>
      </w:tblGrid>
      <w:tr>
        <w:tc>
          <w:tcPr>
            <w:tcW w:type="dxa" w:w="2232"/>
            <w:vAlign w:val="center"/>
          </w:tcPr>
          <w:p>
            <w:pPr>
              <w:spacing w:after="40"/>
            </w:pPr>
            <w:r>
              <w:rPr>
                <w:sz w:val="18"/>
              </w:rPr>
              <w:t>Resource</w:t>
            </w:r>
          </w:p>
        </w:tc>
        <w:tc>
          <w:tcPr>
            <w:tcW w:type="dxa" w:w="7272"/>
            <w:vAlign w:val="center"/>
          </w:tcPr>
          <w:p>
            <w:pPr>
              <w:spacing w:after="40"/>
            </w:pPr>
            <w:r>
              <w:rPr>
                <w:sz w:val="18"/>
              </w:rPr>
              <w:t>2026 planning rule</w:t>
            </w:r>
          </w:p>
        </w:tc>
      </w:tr>
      <w:tr>
        <w:tc>
          <w:tcPr>
            <w:tcW w:type="dxa" w:w="2232"/>
            <w:vAlign w:val="center"/>
          </w:tcPr>
          <w:p>
            <w:pPr>
              <w:spacing w:after="40"/>
            </w:pPr>
            <w:r>
              <w:rPr>
                <w:sz w:val="18"/>
              </w:rPr>
              <w:t>Senior instructor time</w:t>
            </w:r>
          </w:p>
        </w:tc>
        <w:tc>
          <w:tcPr>
            <w:tcW w:type="dxa" w:w="7272"/>
            <w:vAlign w:val="center"/>
          </w:tcPr>
          <w:p>
            <w:pPr>
              <w:spacing w:after="40"/>
            </w:pPr>
            <w:r>
              <w:rPr>
                <w:sz w:val="18"/>
              </w:rPr>
              <w:t>One internal senior instructor is available for up to 12 delivery days in a normal month; only 6 days in July, 8 in August, and 14 in September and October. Remaining days are sales support, design and leave.</w:t>
            </w:r>
          </w:p>
        </w:tc>
      </w:tr>
      <w:tr>
        <w:tc>
          <w:tcPr>
            <w:tcW w:type="dxa" w:w="2232"/>
            <w:vAlign w:val="center"/>
          </w:tcPr>
          <w:p>
            <w:pPr>
              <w:spacing w:after="40"/>
            </w:pPr>
            <w:r>
              <w:rPr>
                <w:sz w:val="18"/>
              </w:rPr>
              <w:t>External instructor pool</w:t>
            </w:r>
          </w:p>
        </w:tc>
        <w:tc>
          <w:tcPr>
            <w:tcW w:type="dxa" w:w="7272"/>
            <w:vAlign w:val="center"/>
          </w:tcPr>
          <w:p>
            <w:pPr>
              <w:spacing w:after="40"/>
            </w:pPr>
            <w:r>
              <w:rPr>
                <w:sz w:val="18"/>
              </w:rPr>
              <w:t>External instructors are usually available with 6–8 weeks’ notice. Their fee may differ from the current planning rate. A last-minute booking is not guaranteed.</w:t>
            </w:r>
          </w:p>
        </w:tc>
      </w:tr>
      <w:tr>
        <w:tc>
          <w:tcPr>
            <w:tcW w:type="dxa" w:w="2232"/>
            <w:vAlign w:val="center"/>
          </w:tcPr>
          <w:p>
            <w:pPr>
              <w:spacing w:after="40"/>
            </w:pPr>
            <w:r>
              <w:rPr>
                <w:sz w:val="18"/>
              </w:rPr>
              <w:t>Assistants</w:t>
            </w:r>
          </w:p>
        </w:tc>
        <w:tc>
          <w:tcPr>
            <w:tcW w:type="dxa" w:w="7272"/>
            <w:vAlign w:val="center"/>
          </w:tcPr>
          <w:p>
            <w:pPr>
              <w:spacing w:after="40"/>
            </w:pPr>
            <w:r>
              <w:rPr>
                <w:sz w:val="18"/>
              </w:rPr>
              <w:t>One regular assistant can cover at most 4 program days each month. Additional assistants must be booked individually and paid.</w:t>
            </w:r>
          </w:p>
        </w:tc>
      </w:tr>
      <w:tr>
        <w:tc>
          <w:tcPr>
            <w:tcW w:type="dxa" w:w="2232"/>
            <w:vAlign w:val="center"/>
          </w:tcPr>
          <w:p>
            <w:pPr>
              <w:spacing w:after="40"/>
            </w:pPr>
            <w:r>
              <w:rPr>
                <w:sz w:val="18"/>
              </w:rPr>
              <w:t>Open-program venue</w:t>
            </w:r>
          </w:p>
        </w:tc>
        <w:tc>
          <w:tcPr>
            <w:tcW w:type="dxa" w:w="7272"/>
            <w:vAlign w:val="center"/>
          </w:tcPr>
          <w:p>
            <w:pPr>
              <w:spacing w:after="40"/>
            </w:pPr>
            <w:r>
              <w:rPr>
                <w:sz w:val="18"/>
              </w:rPr>
              <w:t>The existing room holds 20 paid participants. Extra dates need a room, a trainer and additional promotion.</w:t>
            </w:r>
          </w:p>
        </w:tc>
      </w:tr>
      <w:tr>
        <w:tc>
          <w:tcPr>
            <w:tcW w:type="dxa" w:w="2232"/>
            <w:vAlign w:val="center"/>
          </w:tcPr>
          <w:p>
            <w:pPr>
              <w:spacing w:after="40"/>
            </w:pPr>
            <w:r>
              <w:rPr>
                <w:sz w:val="18"/>
              </w:rPr>
              <w:t>Large-program staffing</w:t>
            </w:r>
          </w:p>
        </w:tc>
        <w:tc>
          <w:tcPr>
            <w:tcW w:type="dxa" w:w="7272"/>
            <w:vAlign w:val="center"/>
          </w:tcPr>
          <w:p>
            <w:pPr>
              <w:spacing w:after="40"/>
            </w:pPr>
            <w:r>
              <w:rPr>
                <w:sz w:val="18"/>
              </w:rPr>
              <w:t>One delivery person per 30 participants, rounded up, including the lead instructor.</w:t>
            </w:r>
          </w:p>
        </w:tc>
      </w:tr>
    </w:tbl>
    <w:p/>
    <w:p>
      <w:pPr>
        <w:pStyle w:val="Heading1"/>
      </w:pPr>
      <w:r>
        <w:t>Calendar note</w:t>
      </w:r>
    </w:p>
    <w:p>
      <w:r>
        <w:t>In the current register, there are 26 planned events. We can add programs if sales convert more opportunities. However, we cannot deliver an unspecified corporate program just because revenue is in a budget cell. We need a date, client, length, participant count, instructor, any assistants, room and a direct-cost estimate. Several events in September and October may be possible if scheduled early.</w:t>
      </w:r>
    </w:p>
    <w:p>
      <w:r>
        <w:t>For standard programs we usually use one instructor. External instructor cost is treated as a direct program cost in the draft register, even when the internal senior instructor might occasionally deliver; this is a conservative simplification. Travel and materials depend on the client and audience size. The register’s default calculations are planning estimates, not signed supplier quotations.</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Bad Boss Business School  |  Management Accounting  |  2026 budget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