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and personnel plan</w:t>
      </w:r>
    </w:p>
    <w:p>
      <w:pPr>
        <w:pStyle w:val="Subtitle"/>
      </w:pPr>
      <w:r>
        <w:rPr>
          <w:color w:val="555555"/>
        </w:rPr>
        <w:t>Internal note from the people director, 11 January 2026</w:t>
      </w:r>
    </w:p>
    <w:p>
      <w:r>
        <w:t>The sales group is changing. Keep the employee dates in this note separate from the sales director’s target. A budget can include a target for an unfilled role, but the assumed dates and productivity must be visible.</w:t>
      </w:r>
    </w:p>
    <w:tbl>
      <w:tblPr>
        <w:tblStyle w:val="LightShading-Accent1"/>
        <w:tblW w:type="auto" w:w="0"/>
        <w:jc w:val="center"/>
        <w:tblLook w:firstColumn="1" w:firstRow="1" w:lastColumn="0" w:lastRow="0" w:noHBand="0" w:noVBand="1" w:val="04A0"/>
      </w:tblPr>
      <w:tblGrid>
        <w:gridCol w:w="4824"/>
        <w:gridCol w:w="4824"/>
      </w:tblGrid>
      <w:tr>
        <w:tc>
          <w:tcPr>
            <w:tcW w:type="dxa" w:w="1800"/>
            <w:vAlign w:val="center"/>
          </w:tcPr>
          <w:p>
            <w:pPr>
              <w:spacing w:after="40"/>
            </w:pPr>
            <w:r>
              <w:rPr>
                <w:sz w:val="18"/>
              </w:rPr>
              <w:t>Person</w:t>
            </w:r>
          </w:p>
        </w:tc>
        <w:tc>
          <w:tcPr>
            <w:tcW w:type="dxa" w:w="7704"/>
            <w:vAlign w:val="center"/>
          </w:tcPr>
          <w:p>
            <w:pPr>
              <w:spacing w:after="40"/>
            </w:pPr>
            <w:r>
              <w:rPr>
                <w:sz w:val="18"/>
              </w:rPr>
              <w:t>Position and 2026 status</w:t>
            </w:r>
          </w:p>
        </w:tc>
      </w:tr>
      <w:tr>
        <w:tc>
          <w:tcPr>
            <w:tcW w:type="dxa" w:w="1800"/>
            <w:vAlign w:val="center"/>
          </w:tcPr>
          <w:p>
            <w:pPr>
              <w:spacing w:after="40"/>
            </w:pPr>
            <w:r>
              <w:rPr>
                <w:sz w:val="18"/>
              </w:rPr>
              <w:t>Anna Power</w:t>
            </w:r>
          </w:p>
        </w:tc>
        <w:tc>
          <w:tcPr>
            <w:tcW w:type="dxa" w:w="7704"/>
            <w:vAlign w:val="center"/>
          </w:tcPr>
          <w:p>
            <w:pPr>
              <w:spacing w:after="40"/>
            </w:pPr>
            <w:r>
              <w:rPr>
                <w:sz w:val="18"/>
              </w:rPr>
              <w:t>Experienced salesperson. Her resignation is accepted. Last employment day is 28 February; no employment contract after that date. Her client files require handover.</w:t>
            </w:r>
          </w:p>
        </w:tc>
      </w:tr>
      <w:tr>
        <w:tc>
          <w:tcPr>
            <w:tcW w:type="dxa" w:w="1800"/>
            <w:vAlign w:val="center"/>
          </w:tcPr>
          <w:p>
            <w:pPr>
              <w:spacing w:after="40"/>
            </w:pPr>
            <w:r>
              <w:rPr>
                <w:sz w:val="18"/>
              </w:rPr>
              <w:t>Mark Pressure</w:t>
            </w:r>
          </w:p>
        </w:tc>
        <w:tc>
          <w:tcPr>
            <w:tcW w:type="dxa" w:w="7704"/>
            <w:vAlign w:val="center"/>
          </w:tcPr>
          <w:p>
            <w:pPr>
              <w:spacing w:after="40"/>
            </w:pPr>
            <w:r>
              <w:rPr>
                <w:sz w:val="18"/>
              </w:rPr>
              <w:t>Salesperson throughout 2026. Continues to lead the corporate sales-training portfolio.</w:t>
            </w:r>
          </w:p>
        </w:tc>
      </w:tr>
      <w:tr>
        <w:tc>
          <w:tcPr>
            <w:tcW w:type="dxa" w:w="1800"/>
            <w:vAlign w:val="center"/>
          </w:tcPr>
          <w:p>
            <w:pPr>
              <w:spacing w:after="40"/>
            </w:pPr>
            <w:r>
              <w:rPr>
                <w:sz w:val="18"/>
              </w:rPr>
              <w:t>Linda Smile</w:t>
            </w:r>
          </w:p>
        </w:tc>
        <w:tc>
          <w:tcPr>
            <w:tcW w:type="dxa" w:w="7704"/>
            <w:vAlign w:val="center"/>
          </w:tcPr>
          <w:p>
            <w:pPr>
              <w:spacing w:after="40"/>
            </w:pPr>
            <w:r>
              <w:rPr>
                <w:sz w:val="18"/>
              </w:rPr>
              <w:t>Salesperson throughout 2026, with responsibility for open-program sales.</w:t>
            </w:r>
          </w:p>
        </w:tc>
      </w:tr>
      <w:tr>
        <w:tc>
          <w:tcPr>
            <w:tcW w:type="dxa" w:w="1800"/>
            <w:vAlign w:val="center"/>
          </w:tcPr>
          <w:p>
            <w:pPr>
              <w:spacing w:after="40"/>
            </w:pPr>
            <w:r>
              <w:rPr>
                <w:sz w:val="18"/>
              </w:rPr>
              <w:t>Peter Late</w:t>
            </w:r>
          </w:p>
        </w:tc>
        <w:tc>
          <w:tcPr>
            <w:tcW w:type="dxa" w:w="7704"/>
            <w:vAlign w:val="center"/>
          </w:tcPr>
          <w:p>
            <w:pPr>
              <w:spacing w:after="40"/>
            </w:pPr>
            <w:r>
              <w:rPr>
                <w:sz w:val="18"/>
              </w:rPr>
              <w:t>Salesperson throughout 2026. Coaching on response times is planned but no measured uplift has yet been achieved.</w:t>
            </w:r>
          </w:p>
        </w:tc>
      </w:tr>
      <w:tr>
        <w:tc>
          <w:tcPr>
            <w:tcW w:type="dxa" w:w="1800"/>
            <w:vAlign w:val="center"/>
          </w:tcPr>
          <w:p>
            <w:pPr>
              <w:spacing w:after="40"/>
            </w:pPr>
            <w:r>
              <w:rPr>
                <w:sz w:val="18"/>
              </w:rPr>
              <w:t>Ella Fast</w:t>
            </w:r>
          </w:p>
        </w:tc>
        <w:tc>
          <w:tcPr>
            <w:tcW w:type="dxa" w:w="7704"/>
            <w:vAlign w:val="center"/>
          </w:tcPr>
          <w:p>
            <w:pPr>
              <w:spacing w:after="40"/>
            </w:pPr>
            <w:r>
              <w:rPr>
                <w:sz w:val="18"/>
              </w:rPr>
              <w:t>Offer accepted; employment starts 1 May. May is onboarding, June is supervised selling, July is a partial independent month; full productivity is expected no earlier than August.</w:t>
            </w:r>
          </w:p>
        </w:tc>
      </w:tr>
    </w:tbl>
    <w:p/>
    <w:p>
      <w:pPr>
        <w:pStyle w:val="Heading1"/>
      </w:pPr>
      <w:r>
        <w:t>Payroll planning</w:t>
      </w:r>
    </w:p>
    <w:p>
      <w:r>
        <w:t>The draft assumes four sales employees at EUR 1,800 fixed salary each per month: EUR 7,200 in total. Ella replaces Anna on the same fixed salary. Delivery coordination salaries are EUR 2,500 per month and administration salaries are EUR 2,000 per month. Employer payroll costs are 25% of fixed salaries for this case, not a statement of a statutory tax rate. These departmental lines are held flat in the submitted budget; finance still needs the employee schedule to agree with the actual leaving and joining dates.</w:t>
      </w:r>
    </w:p>
    <w:p>
      <w:r>
        <w:t>A former employee might later sell on commission as an independent contractor, but there is currently no such agreement with Anna. If management wants that arrangement, it must budget the terms and avoid treating it as already signed. Ella cannot take client meetings for this business before her start date.</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