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Finance and administration notes</w:t>
      </w:r>
    </w:p>
    <w:p>
      <w:pPr>
        <w:pStyle w:val="Subtitle"/>
      </w:pPr>
      <w:r>
        <w:rPr>
          <w:color w:val="000000"/>
        </w:rPr>
        <w:t>Internal note from the finance director, 12 January 2026</w:t>
      </w:r>
    </w:p>
    <w:p>
      <w:r>
        <w:t>The draft profit and loss statement is formula-linked to departmental worksheets. This does not mean the underlying assumptions have been approved. I used consistent arithmetic and the information departments had sent by the deadline.</w:t>
      </w:r>
    </w:p>
    <w:p>
      <w:pPr>
        <w:pStyle w:val="Heading1"/>
      </w:pPr>
      <w:r>
        <w:rPr>
          <w:color w:val="000000"/>
        </w:rPr>
        <w:t>Supplier rates and operating costs</w:t>
      </w:r>
    </w:p>
    <w:p>
      <w:pPr>
        <w:pStyle w:val="ListBullet"/>
      </w:pPr>
      <w:r>
        <w:t>The default external instructor rate is €700 per day through June. The main supplier notified us of a 10% increase from 1 July. An assistant is paid one quarter of the relevant instructor daily fee.</w:t>
      </w:r>
    </w:p>
    <w:p>
      <w:pPr>
        <w:pStyle w:val="ListBullet"/>
      </w:pPr>
      <w:r>
        <w:t>A €25,000 training studio fit-out is due in April. It will be ready for use on 1 May and depreciated over five years, straight-line, with no residual value. The monthly depreciation line has not yet been revisited. The purchase price itself is not a P&amp;L expense.</w:t>
      </w:r>
    </w:p>
    <w:p>
      <w:pPr>
        <w:pStyle w:val="ListBullet"/>
      </w:pPr>
      <w:r>
        <w:t>The monthly overhead allowances are EUR 1,800 for rent and utilities, EUR 450 for software, EUR 600 for accounting and legal support, EUR 350 for administration travel and EUR 350 for other expenses. Existing depreciation is EUR 800 per month and interest EUR 250 per month. Annual insurance is EUR 1,800. These are the existing cost base for Part 1, not savings already achieved by your decisions. The studio depreciation is additional from May. Any further cost changes you propose belong in Part 2 and need a reason and effective date.</w:t>
      </w:r>
    </w:p>
    <w:p>
      <w:r>
        <w:t>All case figures are excluding VAT. This case is about managerial budgeting rather than tax computation. The operating profit figure in the workbook includes interest expense as a simplified management presentation; if you use a stricter EBIT definition, label your reconciliation.</w:t>
      </w:r>
    </w:p>
    <w:p>
      <w:pPr>
        <w:pStyle w:val="Heading1"/>
      </w:pPr>
      <w:r>
        <w:rPr>
          <w:color w:val="000000"/>
        </w:rPr>
        <w:t>The two budget versions</w:t>
      </w:r>
    </w:p>
    <w:p>
      <w:r>
        <w:t>Keep the original draft unchanged. In Part 1, correct what the existing plans and commitments imply for sales and expenses. In Part 2, record each new management decision before including its effects in a separate monthly P&amp;L. Use the same P&amp;L lines, cost signs and January–December periods in all three versions. Explain the difference between the corrected outcome and the outcome after your decisions. This is a profit and loss exercise; a cash-flow statement is not required.</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