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Business Gold Rewards Card Referral Program Terms</w:t>
      </w:r>
    </w:p>
    <w:p>
      <w:pPr>
        <w:pStyle w:val="Meta"/>
      </w:pPr>
      <w:r>
        <w:t xml:space="preserve">Rho Bank, N.A. — Business Card Programs</w:t>
      </w:r>
    </w:p>
    <w:p>
      <w:pPr>
        <w:pStyle w:val="Meta"/>
      </w:pPr>
      <w:r>
        <w:t xml:space="preserve">Version 2 — circulated 2025-08-19 for review</w:t>
      </w:r>
    </w:p>
    <w:p>
      <w:pPr>
        <w:pStyle w:val="Meta"/>
      </w:pPr>
      <w:r>
        <w:t xml:space="preserve">Program owner: Ada Okonjo, Business Card Programs</w:t>
      </w:r>
    </w:p>
    <w:p>
      <w:pPr>
        <w:pStyle w:val="Meta"/>
      </w:pPr>
      <w:r>
        <w:t xml:space="preserve">Reviewers: T. Lindgren (desk), G. Frank (finance), legal (assignment pending)</w:t>
      </w:r>
    </w:p>
    <w:p>
      <w:pPr>
        <w:pStyle w:val="Heading2"/>
      </w:pPr>
      <w:r>
        <w:t xml:space="preserve">1. Program overview</w:t>
      </w:r>
    </w:p>
    <w:p/>
    <w:p>
      <w:r>
        <w:t xml:space="preserve">The Business Gold Rewards Card referral program pays $150 for each successful referral who is approved and meets the qualifying spend. [AO: finance has asked to revisit this figure against the acquisition-cost model before we finalize — GF to confirm by end of week.]</w:t>
      </w:r>
    </w:p>
    <w:p/>
    <w:p>
      <w:pPr>
        <w:pStyle w:val="Heading2"/>
      </w:pPr>
      <w:r>
        <w:t xml:space="preserve">2. Annual limit</w:t>
      </w:r>
    </w:p>
    <w:p/>
    <w:p>
      <w:r>
        <w:t xml:space="preserve">The program allows up to 6 referral bonuses per calendar year. [AO: desk feedback says our heaviest referrers hit 6 by Q3 last cycle; holding here pending the same finance review.]</w:t>
      </w:r>
    </w:p>
    <w:p/>
    <w:p>
      <w:pPr>
        <w:pStyle w:val="Heading2"/>
      </w:pPr>
      <w:r>
        <w:t xml:space="preserve">3. Qualifying spend</w:t>
      </w:r>
    </w:p>
    <w:p/>
    <w:p>
      <w:r>
        <w:t xml:space="preserve">The referred business must spend $5,000 within 60 days of account opening to qualify the referrer's bonus. [GF: this is the number I'd flag — $5,000/60 is under our onboarding-spend median, which means we'd pay on businesses we'd have booked anyway. Recommend re-anchoring before final.]</w:t>
      </w:r>
    </w:p>
    <w:p/>
    <w:p>
      <w:pPr>
        <w:pStyle w:val="Heading2"/>
      </w:pPr>
      <w:r>
        <w:t xml:space="preserve">4. How referrals work</w:t>
      </w:r>
    </w:p>
    <w:p/>
    <w:p>
      <w:pPr>
        <w:pStyle w:val="Bullet"/>
      </w:pPr>
      <w:r>
        <w:t xml:space="preserve">• The referrer generates a unique referral link from the account's referral center.</w:t>
      </w:r>
    </w:p>
    <w:p>
      <w:pPr>
        <w:pStyle w:val="Bullet"/>
      </w:pPr>
      <w:r>
        <w:t xml:space="preserve">• The referrer shares the link directly with businesses that consent to receive it.</w:t>
      </w:r>
    </w:p>
    <w:p>
      <w:pPr>
        <w:pStyle w:val="Bullet"/>
      </w:pPr>
      <w:r>
        <w:t xml:space="preserve">• The referrer tracks application status and eligibility in the referral dashboard.</w:t>
      </w:r>
    </w:p>
    <w:p/>
    <w:p>
      <w:pPr>
        <w:pStyle w:val="Heading2"/>
      </w:pPr>
      <w:r>
        <w:t xml:space="preserve">5. Eligibility and conduct</w:t>
      </w:r>
    </w:p>
    <w:p/>
    <w:p>
      <w:pPr>
        <w:pStyle w:val="Bullet"/>
      </w:pPr>
      <w:r>
        <w:t xml:space="preserve">• Self-referrals are not permitted.</w:t>
      </w:r>
    </w:p>
    <w:p>
      <w:pPr>
        <w:pStyle w:val="Bullet"/>
      </w:pPr>
      <w:r>
        <w:t xml:space="preserve">• Referral invitations should be shared only with contacts who have given permission to receive them.</w:t>
      </w:r>
    </w:p>
    <w:p>
      <w:pPr>
        <w:pStyle w:val="Bullet"/>
      </w:pPr>
      <w:r>
        <w:t xml:space="preserve">• If a referral applies without the referrer's link, the referral may not be attributed.</w:t>
      </w:r>
    </w:p>
    <w:p/>
    <w:p>
      <w:pPr>
        <w:pStyle w:val="Heading2"/>
      </w:pPr>
      <w:r>
        <w:t xml:space="preserve">6. Open items for v3</w:t>
      </w:r>
    </w:p>
    <w:p/>
    <w:p>
      <w:pPr>
        <w:pStyle w:val="Bullet"/>
      </w:pPr>
      <w:r>
        <w:t xml:space="preserve">• Finance review of bonus amount, annual limit, and qualifying spend (Sections 1–3).</w:t>
      </w:r>
    </w:p>
    <w:p>
      <w:pPr>
        <w:pStyle w:val="Bullet"/>
      </w:pPr>
      <w:r>
        <w:t xml:space="preserve">• Whether the program needs a defined close date this cycle. [TL: if we're winding the program down in the fall, say so in the terms — the desk keeps getting asked.]</w:t>
      </w:r>
    </w:p>
    <w:p>
      <w:pPr>
        <w:pStyle w:val="Bullet"/>
      </w:pPr>
      <w:r>
        <w:t xml:space="preserve">• Legal read on the attribution-dispute language.</w:t>
      </w:r>
    </w:p>
    <w:p/>
    <w:p>
      <w:r>
        <w:t xml:space="preserve">Document history: v1 distributed 2025-04-02 (launch). v2 circulated 2025-08-19 for review.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spacing w:before="360" w:after="160"/>
    </w:pPr>
    <w:rPr>
      <w:b/>
      <w:sz w:val="34"/>
      <w:color w:val="0B2A52"/>
    </w:rPr>
  </w:style>
  <w:style w:type="paragraph" w:styleId="Heading2">
    <w:name w:val="heading 2"/>
    <w:basedOn w:val="Normal"/>
    <w:pPr>
      <w:spacing w:before="280" w:after="120"/>
    </w:pPr>
    <w:rPr>
      <w:b/>
      <w:sz w:val="26"/>
      <w:color w:val="0B2A52"/>
    </w:rPr>
  </w:style>
  <w:style w:type="paragraph" w:styleId="Meta">
    <w:name w:val="Meta"/>
    <w:basedOn w:val="Normal"/>
    <w:pPr>
      <w:spacing w:after="40"/>
    </w:pPr>
    <w:rPr>
      <w:sz w:val="19"/>
      <w:color w:val="55606C"/>
    </w:rPr>
  </w:style>
  <w:style w:type="paragraph" w:styleId="Bullet">
    <w:name w:val="List Bullet"/>
    <w:basedOn w:val="Normal"/>
    <w:pPr>
      <w:ind w:left="360"/>
      <w:spacing w:after="8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325</Words>
  <Characters>1692</Characters>
  <Application>Microsoft Macintosh Word</Application>
  <DocSecurity>0</DocSecurity>
  <Lines>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Gold Rewards Card Referral Program Terms — v2</vt:lpstr>
    </vt:vector>
  </TitlesOfParts>
  <Manager/>
  <Company>Rho Bank</Company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Gold Rewards Card Referral Program Terms — v2</dc:title>
  <dc:subject>Referral program terms</dc:subject>
  <dc:creator>Ada Okonjo</dc:creator>
  <cp:lastModifiedBy>Ada Okonjo</cp:lastModifiedBy>
  <cp:revision>2</cp:revision>
  <dcterms:created xsi:type="dcterms:W3CDTF">2025-08-15T15:30:00Z</dcterms:created>
  <dcterms:modified xsi:type="dcterms:W3CDTF">2025-08-19T13:10:00Z</dcterms:modified>
  <cp:category>Internal</cp:category>
</cp:coreProperties>
</file>