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Heading1"/>
      </w:pPr>
      <w:r>
        <w:t xml:space="preserve">Business Gold Rewards Card Referral Program Terms</w:t>
      </w:r>
    </w:p>
    <w:p>
      <w:pPr>
        <w:pStyle w:val="Meta"/>
      </w:pPr>
      <w:r>
        <w:t xml:space="preserve">Rho Bank, N.A. — Business Card Programs</w:t>
      </w:r>
    </w:p>
    <w:p>
      <w:pPr>
        <w:pStyle w:val="Meta"/>
      </w:pPr>
      <w:r>
        <w:t xml:space="preserve">Version 3 (FINAL) — Distributed 2025-08-26</w:t>
      </w:r>
    </w:p>
    <w:p>
      <w:pPr>
        <w:pStyle w:val="Meta"/>
      </w:pPr>
      <w:r>
        <w:t xml:space="preserve">Program owner: Ada Okonjo, Business Card Programs</w:t>
      </w:r>
    </w:p>
    <w:p>
      <w:pPr>
        <w:pStyle w:val="Meta"/>
      </w:pPr>
      <w:r>
        <w:t xml:space="preserve">Distribution: business banking teams and desk leads; provide to referring customers on request</w:t>
      </w:r>
    </w:p>
    <w:p>
      <w:pPr>
        <w:pStyle w:val="Heading2"/>
      </w:pPr>
      <w:r>
        <w:t xml:space="preserve">1. Program overview</w:t>
      </w:r>
    </w:p>
    <w:p/>
    <w:p>
      <w:r>
        <w:t xml:space="preserve">The Business Gold Rewards Card referral program pays $200 for each successful referral who is approved and meets the qualifying spend. A referral is successful when the referred business submits an application attributed to the referrer, the application is approved, and the qualifying spend requirement in Section 3 is met.</w:t>
      </w:r>
    </w:p>
    <w:p/>
    <w:p>
      <w:pPr>
        <w:pStyle w:val="Heading2"/>
      </w:pPr>
      <w:r>
        <w:t xml:space="preserve">2. Annual limit</w:t>
      </w:r>
    </w:p>
    <w:p/>
    <w:p>
      <w:r>
        <w:t xml:space="preserve">The program allows up to 8 referral bonuses per calendar year. The calendar-year count resets on January 1 and is applied per referring customer, not per referred business.</w:t>
      </w:r>
    </w:p>
    <w:p/>
    <w:p>
      <w:pPr>
        <w:pStyle w:val="Heading2"/>
      </w:pPr>
      <w:r>
        <w:t xml:space="preserve">3. Qualifying spend</w:t>
      </w:r>
    </w:p>
    <w:p/>
    <w:p>
      <w:r>
        <w:t xml:space="preserve">The referred business must spend $7,500 within 90 days of account opening to qualify the referrer's bonus. Spend is measured on posted purchase transactions; fees, interest, and balance transfers do not count toward the threshold.</w:t>
      </w:r>
    </w:p>
    <w:p/>
    <w:p>
      <w:pPr>
        <w:pStyle w:val="Heading2"/>
      </w:pPr>
      <w:r>
        <w:t xml:space="preserve">4. Program window</w:t>
      </w:r>
    </w:p>
    <w:p/>
    <w:p>
      <w:r>
        <w:t xml:space="preserve">The program accepts new referrals until 2025-09-15. Referrals submitted after 2025-09-15 are not eligible. Referrals submitted on or before that date remain governed by these terms through the end of their qualifying-spend window.</w:t>
      </w:r>
    </w:p>
    <w:p/>
    <w:p>
      <w:pPr>
        <w:pStyle w:val="Heading2"/>
      </w:pPr>
      <w:r>
        <w:t xml:space="preserve">5. How referrals work</w:t>
      </w:r>
    </w:p>
    <w:p/>
    <w:p>
      <w:pPr>
        <w:pStyle w:val="Bullet"/>
      </w:pPr>
      <w:r>
        <w:t xml:space="preserve">• The referrer generates a unique referral link from the account's referral center.</w:t>
      </w:r>
    </w:p>
    <w:p>
      <w:pPr>
        <w:pStyle w:val="Bullet"/>
      </w:pPr>
      <w:r>
        <w:t xml:space="preserve">• The referrer shares the link directly with businesses that consent to receive it.</w:t>
      </w:r>
    </w:p>
    <w:p>
      <w:pPr>
        <w:pStyle w:val="Bullet"/>
      </w:pPr>
      <w:r>
        <w:t xml:space="preserve">• The referrer tracks application status and eligibility in the referral dashboard.</w:t>
      </w:r>
    </w:p>
    <w:p>
      <w:pPr>
        <w:pStyle w:val="Bullet"/>
      </w:pPr>
      <w:r>
        <w:t xml:space="preserve">• Once the referred account is approved and completes $7,500 within 90 days, the $200 bonus is queued for issuance to the referrer's account.</w:t>
      </w:r>
    </w:p>
    <w:p/>
    <w:p>
      <w:pPr>
        <w:pStyle w:val="Heading2"/>
      </w:pPr>
      <w:r>
        <w:t xml:space="preserve">6. Eligibility and conduct</w:t>
      </w:r>
    </w:p>
    <w:p/>
    <w:p>
      <w:pPr>
        <w:pStyle w:val="Bullet"/>
      </w:pPr>
      <w:r>
        <w:t xml:space="preserve">• Self-referrals are not permitted.</w:t>
      </w:r>
    </w:p>
    <w:p>
      <w:pPr>
        <w:pStyle w:val="Bullet"/>
      </w:pPr>
      <w:r>
        <w:t xml:space="preserve">• Referral invitations should be shared only with contacts who have given permission to receive them.</w:t>
      </w:r>
    </w:p>
    <w:p>
      <w:pPr>
        <w:pStyle w:val="Bullet"/>
      </w:pPr>
      <w:r>
        <w:t xml:space="preserve">• If a referral applies without the referrer's link, the referral may not be attributed. Attribution disputes are reviewed by Business Card Programs; the link record governs.</w:t>
      </w:r>
    </w:p>
    <w:p/>
    <w:p>
      <w:pPr>
        <w:pStyle w:val="Heading2"/>
      </w:pPr>
      <w:r>
        <w:t xml:space="preserve">7. Changes to the program</w:t>
      </w:r>
    </w:p>
    <w:p/>
    <w:p>
      <w:r>
        <w:t xml:space="preserve">Program terms, eligible industries, and promotional availability may change without notice prior to 2025-09-15. Changes are effective when published; a referral is governed by the terms in effect on its submission date.</w:t>
      </w:r>
    </w:p>
    <w:p/>
    <w:p>
      <w:pPr>
        <w:pStyle w:val="Heading2"/>
      </w:pPr>
      <w:r>
        <w:t xml:space="preserve">8. Questions</w:t>
      </w:r>
    </w:p>
    <w:p/>
    <w:p>
      <w:r>
        <w:t xml:space="preserve">Business banking teams route program questions to Business Card Programs. Referring customers should be directed to their business banking team rather than to published consumer pages, which do not carry business program terms.</w:t>
      </w:r>
    </w:p>
    <w:p/>
    <w:p>
      <w:r>
        <w:t xml:space="preserve">Document history: v1 distributed 2025-04-02 (launch). v2 circulated 2025-08-19 for review. v3 distributed 2025-08-26; v3 re-anchors the bonus amount, annual limit, and qualifying spend from v2 following the finance review, and adds the program window in Section 4.</w:t>
      </w:r>
    </w:p>
    <w:sectPr>
      <w:pgSz w:w="12240" w:h="15840"/>
      <w:pgMar w:top="1440" w:right="1440" w:bottom="1440" w:left="1440"/>
    </w:sectPr>
  </w:body>
</w:document>
</file>

<file path=word/styles.xml><?xml version="1.0" encoding="utf-8"?>
<w:styles xmlns:w="http://schemas.openxmlformats.org/wordprocessingml/2006/main">
  <w:docDefaults>
    <w:rPrDefault>
      <w:rPr>
        <w:rFonts w:ascii="Calibri" w:hAnsi="Calibri"/>
        <w:sz w:val="22"/>
      </w:rPr>
    </w:rPrDefault>
  </w:docDefaults>
  <w:style w:type="paragraph" w:styleId="Normal" w:default="1">
    <w:name w:val="Normal"/>
  </w:style>
  <w:style w:type="paragraph" w:styleId="Heading1">
    <w:name w:val="heading 1"/>
    <w:basedOn w:val="Normal"/>
    <w:pPr>
      <w:spacing w:before="360" w:after="160"/>
    </w:pPr>
    <w:rPr>
      <w:b/>
      <w:sz w:val="34"/>
      <w:color w:val="0B2A52"/>
    </w:rPr>
  </w:style>
  <w:style w:type="paragraph" w:styleId="Heading2">
    <w:name w:val="heading 2"/>
    <w:basedOn w:val="Normal"/>
    <w:pPr>
      <w:spacing w:before="280" w:after="120"/>
    </w:pPr>
    <w:rPr>
      <w:b/>
      <w:sz w:val="26"/>
      <w:color w:val="0B2A52"/>
    </w:rPr>
  </w:style>
  <w:style w:type="paragraph" w:styleId="Meta">
    <w:name w:val="Meta"/>
    <w:basedOn w:val="Normal"/>
    <w:pPr>
      <w:spacing w:after="40"/>
    </w:pPr>
    <w:rPr>
      <w:sz w:val="19"/>
      <w:color w:val="55606C"/>
    </w:rPr>
  </w:style>
  <w:style w:type="paragraph" w:styleId="Bullet">
    <w:name w:val="List Bullet"/>
    <w:basedOn w:val="Normal"/>
    <w:pPr>
      <w:ind w:left="360"/>
      <w:spacing w:after="8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Normal.dotm</Template>
  <TotalTime>30</TotalTime>
  <Pages>1</Pages>
  <Words>436</Words>
  <Characters>2410</Characters>
  <Application>Microsoft Macintosh Word</Application>
  <DocSecurity>0</DocSecurity>
  <Lines>36</Lines>
  <Paragraphs>43</Paragraphs>
  <ScaleCrop>false</ScaleCrop>
  <HeadingPairs>
    <vt:vector size="2" baseType="variant">
      <vt:variant>
        <vt:lpstr>Title</vt:lpstr>
      </vt:variant>
      <vt:variant>
        <vt:i4>1</vt:i4>
      </vt:variant>
    </vt:vector>
  </HeadingPairs>
  <TitlesOfParts>
    <vt:vector size="1" baseType="lpstr">
      <vt:lpstr>Business Gold Rewards Card Referral Program Terms — v3</vt:lpstr>
    </vt:vector>
  </TitlesOfParts>
  <Manager/>
  <Company>Rho Bank</Company>
  <LinksUpToDate>false</LinksUpToDate>
  <CharactersWithSpaces>2845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Business Gold Rewards Card Referral Program Terms — v3</dc:title>
  <dc:subject>Referral program terms</dc:subject>
  <dc:creator>Ada Okonjo</dc:creator>
  <cp:lastModifiedBy>Ada Okonjo</cp:lastModifiedBy>
  <cp:revision>2</cp:revision>
  <dcterms:created xsi:type="dcterms:W3CDTF">2025-08-25T14:05:00Z</dcterms:created>
  <dcterms:modified xsi:type="dcterms:W3CDTF">2025-08-26T12:40:00Z</dcterms:modified>
  <cp:category>Internal</cp:category>
</cp:coreProperties>
</file>