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Silver Zoom Card Referral Program Terms</w:t>
      </w:r>
    </w:p>
    <w:p>
      <w:pPr>
        <w:pStyle w:val="Meta"/>
      </w:pPr>
      <w:r>
        <w:t xml:space="preserve">Rho Bank, N.A. — Business Card Programs</w:t>
      </w:r>
    </w:p>
    <w:p>
      <w:pPr>
        <w:pStyle w:val="Meta"/>
      </w:pPr>
      <w:r>
        <w:t xml:space="preserve">Version 2 (FINAL) — Distributed 2025-09-24</w:t>
      </w:r>
    </w:p>
    <w:p>
      <w:pPr>
        <w:pStyle w:val="Meta"/>
      </w:pPr>
      <w:r>
        <w:t xml:space="preserve">Program owner: Ada Okonjo, Business Card Programs</w:t>
      </w:r>
    </w:p>
    <w:p>
      <w:pPr>
        <w:pStyle w:val="Meta"/>
      </w:pPr>
      <w:r>
        <w:t xml:space="preserve">Distribution: business banking teams and desk leads; provide to referring customers on request</w:t>
      </w:r>
    </w:p>
    <w:p>
      <w:pPr>
        <w:pStyle w:val="Heading2"/>
      </w:pPr>
      <w:r>
        <w:t xml:space="preserve">1. Program overview</w:t>
      </w:r>
    </w:p>
    <w:p/>
    <w:p>
      <w:r>
        <w:t xml:space="preserve">The Silver Zoom Card referral program pays a referral bonus of $150 for each referred logistics business that is approved and meets the qualifying spend requirement. The Silver Zoom Card is offered to logistics and freight businesses; referrals of businesses outside those industries are reviewed case by case and may be declined at underwriting.</w:t>
      </w:r>
    </w:p>
    <w:p/>
    <w:p>
      <w:pPr>
        <w:pStyle w:val="Heading2"/>
      </w:pPr>
      <w:r>
        <w:t xml:space="preserve">2. Annual limit</w:t>
      </w:r>
    </w:p>
    <w:p/>
    <w:p>
      <w:r>
        <w:t xml:space="preserve">The program caps bonuses at 10 per calendar year per referring customer.</w:t>
      </w:r>
    </w:p>
    <w:p/>
    <w:p>
      <w:pPr>
        <w:pStyle w:val="Heading2"/>
      </w:pPr>
      <w:r>
        <w:t xml:space="preserve">3. Qualifying spend</w:t>
      </w:r>
    </w:p>
    <w:p/>
    <w:p>
      <w:r>
        <w:t xml:space="preserve">The referred business must complete purchases totaling $7,500 within 90 days of account opening. Purchases are measured as posted transactions net of returns.</w:t>
      </w:r>
    </w:p>
    <w:p/>
    <w:p>
      <w:pPr>
        <w:pStyle w:val="Heading2"/>
      </w:pPr>
      <w:r>
        <w:t xml:space="preserve">4. Attribution</w:t>
      </w:r>
    </w:p>
    <w:p/>
    <w:p>
      <w:pPr>
        <w:pStyle w:val="Bullet"/>
      </w:pPr>
      <w:r>
        <w:t xml:space="preserve">• Only one referrer is credited per approved account. Where more than one referrer claims the same business, the earliest properly attributed submission is credited.</w:t>
      </w:r>
    </w:p>
    <w:p>
      <w:pPr>
        <w:pStyle w:val="Bullet"/>
      </w:pPr>
      <w:r>
        <w:t xml:space="preserve">• The referrer must share the referral link or submit the referral through the account portal before the referred business applies.</w:t>
      </w:r>
    </w:p>
    <w:p>
      <w:pPr>
        <w:pStyle w:val="Bullet"/>
      </w:pPr>
      <w:r>
        <w:t xml:space="preserve">• The referrer must ensure the referred business uses the link or is otherwise properly attributed during application. Attribution cannot be added to an application after submission.</w:t>
      </w:r>
    </w:p>
    <w:p/>
    <w:p>
      <w:pPr>
        <w:pStyle w:val="Heading2"/>
      </w:pPr>
      <w:r>
        <w:t xml:space="preserve">5. Program window</w:t>
      </w:r>
    </w:p>
    <w:p/>
    <w:p>
      <w:r>
        <w:t xml:space="preserve">No new referrals are accepted after 2025-10-01. Referrals attributed on or before that date remain governed by these terms through the end of their qualifying-spend window.</w:t>
      </w:r>
    </w:p>
    <w:p/>
    <w:p>
      <w:pPr>
        <w:pStyle w:val="Heading2"/>
      </w:pPr>
      <w:r>
        <w:t xml:space="preserve">6. Tracking and issuance</w:t>
      </w:r>
    </w:p>
    <w:p/>
    <w:p>
      <w:pPr>
        <w:pStyle w:val="Bullet"/>
      </w:pPr>
      <w:r>
        <w:t xml:space="preserve">• The referrer tracks referral status within the account until the qualifying spend threshold of $7,500 is met.</w:t>
      </w:r>
    </w:p>
    <w:p>
      <w:pPr>
        <w:pStyle w:val="Bullet"/>
      </w:pPr>
      <w:r>
        <w:t xml:space="preserve">• Bonuses are typically issued to the referrer after the referred business satisfies the $7,500 requirement within 90 days.</w:t>
      </w:r>
    </w:p>
    <w:p>
      <w:pPr>
        <w:pStyle w:val="Bullet"/>
      </w:pPr>
      <w:r>
        <w:t xml:space="preserve">• If the referred business returns purchases or does not meet the requirement, no bonus is issued.</w:t>
      </w:r>
    </w:p>
    <w:p/>
    <w:p>
      <w:pPr>
        <w:pStyle w:val="Heading2"/>
      </w:pPr>
      <w:r>
        <w:t xml:space="preserve">7. Questions</w:t>
      </w:r>
    </w:p>
    <w:p/>
    <w:p>
      <w:r>
        <w:t xml:space="preserve">Business banking teams route program questions to Business Card Programs.</w:t>
      </w:r>
    </w:p>
    <w:p/>
    <w:p>
      <w:r>
        <w:t xml:space="preserve">Document history: v1 distributed 2025-06-11 (launch). v2 FINAL distributed 2025-09-24; v2 adds the program window in Section 5 and the net-of-returns language in Sections 3 and 6.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 w:default="1">
    <w:name w:val="Normal"/>
  </w:style>
  <w:style w:type="paragraph" w:styleId="Heading1">
    <w:name w:val="heading 1"/>
    <w:basedOn w:val="Normal"/>
    <w:pPr>
      <w:spacing w:before="360" w:after="160"/>
    </w:pPr>
    <w:rPr>
      <w:b/>
      <w:sz w:val="34"/>
      <w:color w:val="0B2A52"/>
    </w:rPr>
  </w:style>
  <w:style w:type="paragraph" w:styleId="Heading2">
    <w:name w:val="heading 2"/>
    <w:basedOn w:val="Normal"/>
    <w:pPr>
      <w:spacing w:before="280" w:after="120"/>
    </w:pPr>
    <w:rPr>
      <w:b/>
      <w:sz w:val="26"/>
      <w:color w:val="0B2A52"/>
    </w:rPr>
  </w:style>
  <w:style w:type="paragraph" w:styleId="Meta">
    <w:name w:val="Meta"/>
    <w:basedOn w:val="Normal"/>
    <w:pPr>
      <w:spacing w:after="40"/>
    </w:pPr>
    <w:rPr>
      <w:sz w:val="19"/>
      <w:color w:val="55606C"/>
    </w:rPr>
  </w:style>
  <w:style w:type="paragraph" w:styleId="Bullet">
    <w:name w:val="List Bullet"/>
    <w:basedOn w:val="Normal"/>
    <w:pPr>
      <w:ind w:left="360"/>
      <w:spacing w:after="8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346</Words>
  <Characters>1894</Characters>
  <Application>Microsoft Macintosh Word</Application>
  <DocSecurity>0</DocSecurity>
  <Lines>28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Silver Zoom Card Referral Program Terms — v2</vt:lpstr>
    </vt:vector>
  </TitlesOfParts>
  <Manager/>
  <Company>Rho Bank</Company>
  <LinksUpToDate>false</LinksUpToDate>
  <CharactersWithSpaces>2239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Silver Zoom Card Referral Program Terms — v2</dc:title>
  <dc:subject>Referral program terms</dc:subject>
  <dc:creator>Ada Okonjo</dc:creator>
  <cp:lastModifiedBy>Ada Okonjo</cp:lastModifiedBy>
  <cp:revision>2</cp:revision>
  <dcterms:created xsi:type="dcterms:W3CDTF">2025-09-22T16:20:00Z</dcterms:created>
  <dcterms:modified xsi:type="dcterms:W3CDTF">2025-09-24T13:55:00Z</dcterms:modified>
  <cp:category>Internal</cp:category>
</cp:coreProperties>
</file>