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QUALITY REVIEW — RHO BANK</w:t>
      </w:r>
    </w:p>
    <w:p>
      <w:pPr>
        <w:pStyle w:val="Heading1"/>
      </w:pPr>
      <w:r>
        <w:t>Report IQR-2025-119 | Dispute Intake Quality Review</w:t>
      </w:r>
    </w:p>
    <w:p>
      <w:r>
        <w:t>Date: 2025-10-17 | Lead reviewer: Duncan Wray | Classification: Internal Distribution: Dispute Operations (P. Raman), QA (S. Liu), Card Support leadership</w:t>
      </w:r>
    </w:p>
    <w:p>
      <w:r>
        <w:t>1. SCOPE AND METHOD</w:t>
      </w:r>
    </w:p>
    <w:p>
      <w:r>
        <w:t>Fieldwork ran 2025-09-08 through 2025-10-10. The review sampled 120 credit card transaction disputes filed during the window, drawn proportionally across phone, chat, app, and web intake, and listened to call audio where available. Each filing was scored against the filing tool's argument contract and each provisional-credit determination was re-run against the Provisional Credit Eligibility Guidelines. This report records findings and recommendations; the governing rules themselves live in the Guidelines, the desk's decision records, and the console workspace, and are not restated here.</w:t>
      </w:r>
    </w:p>
    <w:p>
      <w:r>
        <w:t>2. FINDINGS</w:t>
      </w:r>
    </w:p>
    <w:p>
      <w:r>
        <w:t>Finding 1 — Merchant-contact question not asked. In 41 of 120 sampled intakes the customer was never asked whether they had attempted to resolve the issue with the merchant. In 29 of the 41 the field was nonetheless populated, meaning the value was inferred rather than asked. Inferred values disagreed with what call audio later established in 11 cases.</w:t>
      </w:r>
    </w:p>
    <w:p>
      <w:r>
        <w:t>Finding 2 — Reason codes entered as free text. 26 of 120 filings carried a reason the processing queue could not route without human re-reading ("double billed", "vendor issue", "wrong amt"). All 26 required manual recoding downstream; median added latency was two business days.</w:t>
      </w:r>
    </w:p>
    <w:p>
      <w:r>
        <w:t>Finding 3 — Provisional credit granted outside the Guidelines. Of the 87 sampled filings where provisional credit was granted, 23 did not satisfy the Guidelines when the determination was re-run. The 23 cluster into ten recurring shapes, the two largest being grants where the merchant-contact criterion was unmet (14) and grants below the amount floor (3). The remaining shapes appear in the working papers.</w:t>
      </w:r>
    </w:p>
    <w:p>
      <w:r>
        <w:t>Finding 4 — Contributing mechanism. An active console shortcut grants provisional credit automatically for disputed amounts under a fixed threshold without running the determination. It predates the current Guidelines. The under-floor grants in Finding 3 all carry its fingerprint.</w:t>
      </w:r>
    </w:p>
    <w:p>
      <w:r>
        <w:t>3. RECOMMENDATIONS</w:t>
      </w:r>
    </w:p>
    <w:p>
      <w:r>
        <w:t>R1. Dispute Operations should issue a dated floor directive restating where the intake and determination obligations live, and retire ambiguous local habits in favor of the named records. (Owner: P. Raman.)</w:t>
      </w:r>
    </w:p>
    <w:p>
      <w:r>
        <w:t>R2. Run recorded calibration for the intake interview and a norming session for the provisional-credit determination, both mandatory, both kept in the training library. (Owner: trainer, per Dispute Operations.)</w:t>
      </w:r>
    </w:p>
    <w:p>
      <w:r>
        <w:t>R3. Retire the auto-grant console shortcut and its trigger. (Owner: console administration.)</w:t>
      </w:r>
    </w:p>
    <w:p>
      <w:r>
        <w:t>R4. QA to refresh the gold-call library with post-remediation exemplars. (Owner: S. Liu.)</w:t>
      </w:r>
    </w:p>
    <w:p>
      <w:r>
        <w:t>R5. Internal Quality Review will resample in November against the directive then in force.</w:t>
      </w:r>
    </w:p>
    <w:p>
      <w:r>
        <w:t>4. LIMITATIONS</w:t>
      </w:r>
    </w:p>
    <w:p>
      <w:r>
        <w:t>The sample excludes disputes withdrawn before filing completed and disputes filed by back-office correction. Counts describe the sample, not the population. Working papers, case lists, and scoring sheets are retained by IQR under the report number.</w:t>
      </w:r>
    </w:p>
    <w:p>
      <w:r>
        <w:t>— End of report IQR-2025-119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473</Words>
  <Characters>2728</Characters>
  <Application>Microsoft Macintosh Word</Application>
  <DocSecurity>0</DocSecurity>
  <Lines>39</Lines>
  <Paragraphs>19</Paragraphs>
  <ScaleCrop>false</ScaleCrop>
  <HeadingPairs>
    <vt:vector size="2" baseType="variant">
      <vt:variant>
        <vt:lpstr>Title</vt:lpstr>
      </vt:variant>
      <vt:variant>
        <vt:i4>1</vt:i4>
      </vt:variant>
    </vt:vector>
  </HeadingPairs>
  <TitlesOfParts>
    <vt:vector size="1" baseType="lpstr">
      <vt:lpstr>IQR-2025-119 — Dispute Intake Quality Review</vt:lpstr>
    </vt:vector>
  </TitlesOfParts>
  <Manager/>
  <Company>Rho Bank</Company>
  <LinksUpToDate>false</LinksUpToDate>
  <CharactersWithSpaces>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IQR-2025-119 — Dispute Intake Quality Review</dc:title>
  <dc:subject>Internal quality review — dispute intake</dc:subject>
  <dc:creator>Duncan Wray</dc:creator>
  <cp:keywords/>
  <dc:description/>
  <cp:lastModifiedBy>Duncan Wray</cp:lastModifiedBy>
  <cp:revision>1</cp:revision>
  <dcterms:created xsi:type="dcterms:W3CDTF">2025-10-15T14:20:00Z</dcterms:created>
  <dcterms:modified xsi:type="dcterms:W3CDTF">2025-10-17T13:05:00Z</dcterms:modified>
  <cp:category>Internal</cp:category>
</cp:coreProperties>
</file>