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40"/>
      </w:pPr>
      <w:r>
        <w:rPr>
          <w:rFonts w:ascii="Arial" w:hAnsi="Arial"/>
          <w:b/>
          <w:color w:val="2864DC"/>
          <w:sz w:val="18"/>
        </w:rPr>
        <w:t>POLICY REFERENCE  |  VERSION 4</w:t>
      </w:r>
    </w:p>
    <w:p>
      <w:pPr>
        <w:spacing w:after="80"/>
      </w:pPr>
      <w:r>
        <w:rPr>
          <w:rFonts w:ascii="Arial" w:hAnsi="Arial"/>
          <w:b/>
          <w:color w:val="142C4A"/>
          <w:sz w:val="50"/>
        </w:rPr>
        <w:t>Care scope &amp; boundaries</w:t>
      </w:r>
    </w:p>
    <w:p>
      <w:pPr>
        <w:spacing w:after="320"/>
      </w:pPr>
      <w:r>
        <w:rPr>
          <w:rFonts w:ascii="Arial" w:hAnsi="Arial"/>
          <w:b w:val="0"/>
          <w:color w:val="5B6777"/>
          <w:sz w:val="23"/>
        </w:rPr>
        <w:t>Supported account, billing, carrier, and phone-assistance work for assisted care</w:t>
      </w:r>
    </w:p>
    <w:tbl>
      <w:tblPr>
        <w:tblW w:type="auto" w:w="0"/>
        <w:jc w:val="left"/>
        <w:tblLayout w:type="fixed"/>
        <w:tblLook w:firstColumn="1" w:firstRow="1" w:lastColumn="0" w:lastRow="0" w:noHBand="0" w:noVBand="1" w:val="04A0"/>
      </w:tblPr>
      <w:tblGrid>
        <w:gridCol w:w="1944"/>
        <w:gridCol w:w="7848"/>
      </w:tblGrid>
      <w:tr>
        <w:tc>
          <w:tcPr>
            <w:tcW w:type="dxa" w:w="4939"/>
            <w:shd w:fill="EAF0FB"/>
            <w:vAlign w:val="center"/>
          </w:tcPr>
          <w:p>
            <w:pPr>
              <w:spacing w:after="0"/>
            </w:pPr>
            <w:r>
              <w:rPr>
                <w:rFonts w:ascii="Arial" w:hAnsi="Arial"/>
                <w:b/>
                <w:color w:val="2864DC"/>
                <w:sz w:val="16"/>
              </w:rPr>
              <w:t>OWNER</w:t>
            </w:r>
          </w:p>
        </w:tc>
        <w:tc>
          <w:tcPr>
            <w:tcW w:type="dxa" w:w="4939"/>
            <w:vAlign w:val="center"/>
          </w:tcPr>
          <w:p>
            <w:pPr>
              <w:spacing w:after="0"/>
            </w:pPr>
            <w:r>
              <w:rPr>
                <w:rFonts w:ascii="Arial" w:hAnsi="Arial"/>
                <w:b w:val="0"/>
                <w:color w:val="142C4A"/>
                <w:sz w:val="17"/>
              </w:rPr>
              <w:t>Priya Shah, Care Policy</w:t>
            </w:r>
          </w:p>
        </w:tc>
      </w:tr>
      <w:tr>
        <w:tc>
          <w:tcPr>
            <w:tcW w:type="dxa" w:w="4939"/>
            <w:shd w:fill="EAF0FB"/>
            <w:vAlign w:val="center"/>
          </w:tcPr>
          <w:p>
            <w:pPr>
              <w:spacing w:after="0"/>
            </w:pPr>
            <w:r>
              <w:rPr>
                <w:rFonts w:ascii="Arial" w:hAnsi="Arial"/>
                <w:b/>
                <w:color w:val="2864DC"/>
                <w:sz w:val="16"/>
              </w:rPr>
              <w:t>APPROVED</w:t>
            </w:r>
          </w:p>
        </w:tc>
        <w:tc>
          <w:tcPr>
            <w:tcW w:type="dxa" w:w="4939"/>
            <w:vAlign w:val="center"/>
          </w:tcPr>
          <w:p>
            <w:pPr>
              <w:spacing w:after="0"/>
            </w:pPr>
            <w:r>
              <w:rPr>
                <w:rFonts w:ascii="Arial" w:hAnsi="Arial"/>
                <w:b w:val="0"/>
                <w:color w:val="142C4A"/>
                <w:sz w:val="17"/>
              </w:rPr>
              <w:t>Annual scope refresh — April 24, 2026 EDT</w:t>
            </w:r>
          </w:p>
        </w:tc>
      </w:tr>
      <w:tr>
        <w:tc>
          <w:tcPr>
            <w:tcW w:type="dxa" w:w="4939"/>
            <w:shd w:fill="EAF0FB"/>
            <w:vAlign w:val="center"/>
          </w:tcPr>
          <w:p>
            <w:pPr>
              <w:spacing w:after="0"/>
            </w:pPr>
            <w:r>
              <w:rPr>
                <w:rFonts w:ascii="Arial" w:hAnsi="Arial"/>
                <w:b/>
                <w:color w:val="2864DC"/>
                <w:sz w:val="16"/>
              </w:rPr>
              <w:t>EFFECTIVE</w:t>
            </w:r>
          </w:p>
        </w:tc>
        <w:tc>
          <w:tcPr>
            <w:tcW w:type="dxa" w:w="4939"/>
            <w:vAlign w:val="center"/>
          </w:tcPr>
          <w:p>
            <w:pPr>
              <w:spacing w:after="0"/>
            </w:pPr>
            <w:r>
              <w:rPr>
                <w:rFonts w:ascii="Arial" w:hAnsi="Arial"/>
                <w:b w:val="0"/>
                <w:color w:val="142C4A"/>
                <w:sz w:val="17"/>
              </w:rPr>
              <w:t>May 2, 2026 EDT</w:t>
            </w:r>
          </w:p>
        </w:tc>
      </w:tr>
      <w:tr>
        <w:tc>
          <w:tcPr>
            <w:tcW w:type="dxa" w:w="4939"/>
            <w:shd w:fill="EAF0FB"/>
            <w:vAlign w:val="center"/>
          </w:tcPr>
          <w:p>
            <w:pPr>
              <w:spacing w:after="0"/>
            </w:pPr>
            <w:r>
              <w:rPr>
                <w:rFonts w:ascii="Arial" w:hAnsi="Arial"/>
                <w:b/>
                <w:color w:val="2864DC"/>
                <w:sz w:val="16"/>
              </w:rPr>
              <w:t>REPLACES</w:t>
            </w:r>
          </w:p>
        </w:tc>
        <w:tc>
          <w:tcPr>
            <w:tcW w:type="dxa" w:w="4939"/>
            <w:vAlign w:val="center"/>
          </w:tcPr>
          <w:p>
            <w:pPr>
              <w:spacing w:after="0"/>
            </w:pPr>
            <w:r>
              <w:rPr>
                <w:rFonts w:ascii="Arial" w:hAnsi="Arial"/>
                <w:b w:val="0"/>
                <w:color w:val="142C4A"/>
                <w:sz w:val="17"/>
              </w:rPr>
              <w:t>Care scope &amp; boundaries v3 — February 21, 2025</w:t>
            </w:r>
          </w:p>
        </w:tc>
      </w:tr>
      <w:tr>
        <w:tc>
          <w:tcPr>
            <w:tcW w:type="dxa" w:w="4939"/>
            <w:shd w:fill="EAF0FB"/>
            <w:vAlign w:val="center"/>
          </w:tcPr>
          <w:p>
            <w:pPr>
              <w:spacing w:after="0"/>
            </w:pPr>
            <w:r>
              <w:rPr>
                <w:rFonts w:ascii="Arial" w:hAnsi="Arial"/>
                <w:b/>
                <w:color w:val="2864DC"/>
                <w:sz w:val="16"/>
              </w:rPr>
              <w:t>RELATED</w:t>
            </w:r>
          </w:p>
        </w:tc>
        <w:tc>
          <w:tcPr>
            <w:tcW w:type="dxa" w:w="4939"/>
            <w:vAlign w:val="center"/>
          </w:tcPr>
          <w:p>
            <w:pPr>
              <w:spacing w:after="0"/>
            </w:pPr>
            <w:r>
              <w:rPr>
                <w:rFonts w:ascii="Arial" w:hAnsi="Arial"/>
                <w:b w:val="0"/>
                <w:color w:val="142C4A"/>
                <w:sz w:val="17"/>
              </w:rPr>
              <w:t>December 13 assisted-plan decision; April 2026 scope-refresh thread</w:t>
            </w:r>
          </w:p>
        </w:tc>
      </w:tr>
    </w:tbl>
    <w:p>
      <w:pPr>
        <w:spacing w:before="200" w:after="100"/>
      </w:pPr>
      <w:r>
        <w:rPr>
          <w:rFonts w:ascii="Arial" w:hAnsi="Arial"/>
          <w:b/>
          <w:color w:val="2864DC"/>
          <w:sz w:val="28"/>
        </w:rPr>
        <w:t>1  How to read this document</w:t>
      </w:r>
    </w:p>
    <w:p>
      <w:pPr>
        <w:spacing w:after="120" w:line="269" w:lineRule="auto"/>
      </w:pPr>
      <w:r>
        <w:rPr>
          <w:rFonts w:ascii="Arial" w:hAnsi="Arial"/>
          <w:b w:val="0"/>
          <w:color w:val="142C4A"/>
          <w:sz w:val="19"/>
        </w:rPr>
        <w:t>This is the annual-refresh edition of the assisted-care scope reference. The April 2026 refresh recorded no membership changes: the supported areas and boundaries below carry the February 2025 wording, and this edition adds two decision examples from the refresh round. Older files remain in the packet to show the decision trail.</w:t>
      </w:r>
    </w:p>
    <w:p>
      <w:pPr>
        <w:spacing w:before="200" w:after="100"/>
      </w:pPr>
      <w:r>
        <w:rPr>
          <w:rFonts w:ascii="Arial" w:hAnsi="Arial"/>
          <w:b/>
          <w:color w:val="2864DC"/>
          <w:sz w:val="28"/>
        </w:rPr>
        <w:t>2  Complete supported scope</w:t>
      </w:r>
    </w:p>
    <w:tbl>
      <w:tblPr>
        <w:tblW w:type="auto" w:w="0"/>
        <w:jc w:val="left"/>
        <w:tblLayout w:type="fixed"/>
        <w:tblLook w:firstColumn="1" w:firstRow="1" w:lastColumn="0" w:lastRow="0" w:noHBand="0" w:noVBand="1" w:val="04A0"/>
      </w:tblPr>
      <w:tblGrid>
        <w:gridCol w:w="2448"/>
        <w:gridCol w:w="7344"/>
      </w:tblGrid>
      <w:tr>
        <w:tc>
          <w:tcPr>
            <w:tcW w:type="dxa" w:w="4939"/>
            <w:shd w:fill="17345D"/>
          </w:tcPr>
          <w:p>
            <w:r>
              <w:rPr>
                <w:rFonts w:ascii="Arial" w:hAnsi="Arial"/>
                <w:b/>
                <w:color w:val="FFFFFF"/>
                <w:sz w:val="16"/>
              </w:rPr>
              <w:t>SUPPORTED AREA</w:t>
            </w:r>
          </w:p>
        </w:tc>
        <w:tc>
          <w:tcPr>
            <w:tcW w:type="dxa" w:w="4939"/>
            <w:shd w:fill="17345D"/>
          </w:tcPr>
          <w:p>
            <w:r>
              <w:rPr>
                <w:rFonts w:ascii="Arial" w:hAnsi="Arial"/>
                <w:b/>
                <w:color w:val="FFFFFF"/>
                <w:sz w:val="16"/>
              </w:rPr>
              <w:t>WHAT ASSISTED CARE MAY DO</w:t>
            </w:r>
          </w:p>
        </w:tc>
      </w:tr>
      <w:tr>
        <w:tc>
          <w:tcPr>
            <w:tcW w:type="dxa" w:w="2448"/>
          </w:tcPr>
          <w:p>
            <w:r>
              <w:rPr>
                <w:rFonts w:ascii="Arial" w:hAnsi="Arial"/>
                <w:b/>
                <w:color w:val="142C4A"/>
                <w:sz w:val="17"/>
              </w:rPr>
              <w:t>Account and records</w:t>
            </w:r>
          </w:p>
        </w:tc>
        <w:tc>
          <w:tcPr>
            <w:tcW w:type="dxa" w:w="7344"/>
          </w:tcPr>
          <w:p>
            <w:r>
              <w:rPr>
                <w:rFonts w:ascii="Arial" w:hAnsi="Arial"/>
                <w:b w:val="0"/>
                <w:color w:val="142C4A"/>
                <w:sz w:val="17"/>
              </w:rPr>
              <w:t>Look up the customer's account and the documented customer record.</w:t>
            </w:r>
          </w:p>
        </w:tc>
      </w:tr>
      <w:tr>
        <w:tc>
          <w:tcPr>
            <w:tcW w:type="dxa" w:w="2448"/>
          </w:tcPr>
          <w:p>
            <w:r>
              <w:rPr>
                <w:rFonts w:ascii="Arial" w:hAnsi="Arial"/>
                <w:b/>
                <w:color w:val="142C4A"/>
                <w:sz w:val="17"/>
              </w:rPr>
              <w:t>Payment support</w:t>
            </w:r>
          </w:p>
        </w:tc>
        <w:tc>
          <w:tcPr>
            <w:tcW w:type="dxa" w:w="7344"/>
          </w:tcPr>
          <w:p>
            <w:r>
              <w:rPr>
                <w:rFonts w:ascii="Arial" w:hAnsi="Arial"/>
                <w:b w:val="0"/>
                <w:color w:val="142C4A"/>
                <w:sz w:val="17"/>
              </w:rPr>
              <w:t>Send a payment request and help the customer complete payment from the phone.</w:t>
            </w:r>
          </w:p>
        </w:tc>
      </w:tr>
      <w:tr>
        <w:tc>
          <w:tcPr>
            <w:tcW w:type="dxa" w:w="2448"/>
          </w:tcPr>
          <w:p>
            <w:r>
              <w:rPr>
                <w:rFonts w:ascii="Arial" w:hAnsi="Arial"/>
                <w:b/>
                <w:color w:val="142C4A"/>
                <w:sz w:val="17"/>
              </w:rPr>
              <w:t>Suspended-line resumption</w:t>
            </w:r>
          </w:p>
        </w:tc>
        <w:tc>
          <w:tcPr>
            <w:tcW w:type="dxa" w:w="7344"/>
          </w:tcPr>
          <w:p>
            <w:r>
              <w:rPr>
                <w:rFonts w:ascii="Arial" w:hAnsi="Arial"/>
                <w:b w:val="0"/>
                <w:color w:val="142C4A"/>
                <w:sz w:val="17"/>
              </w:rPr>
              <w:t>Resume a suspended line when the applicable policy permits it.</w:t>
            </w:r>
          </w:p>
        </w:tc>
      </w:tr>
      <w:tr>
        <w:tc>
          <w:tcPr>
            <w:tcW w:type="dxa" w:w="2448"/>
          </w:tcPr>
          <w:p>
            <w:r>
              <w:rPr>
                <w:rFonts w:ascii="Arial" w:hAnsi="Arial"/>
                <w:b/>
                <w:color w:val="142C4A"/>
                <w:sz w:val="17"/>
              </w:rPr>
              <w:t>Carrier roaming</w:t>
            </w:r>
          </w:p>
        </w:tc>
        <w:tc>
          <w:tcPr>
            <w:tcW w:type="dxa" w:w="7344"/>
          </w:tcPr>
          <w:p>
            <w:r>
              <w:rPr>
                <w:rFonts w:ascii="Arial" w:hAnsi="Arial"/>
                <w:b w:val="0"/>
                <w:color w:val="142C4A"/>
                <w:sz w:val="17"/>
              </w:rPr>
              <w:t>Enable or disable the carrier-side roaming allowance on an active affected line.</w:t>
            </w:r>
          </w:p>
        </w:tc>
      </w:tr>
      <w:tr>
        <w:tc>
          <w:tcPr>
            <w:tcW w:type="dxa" w:w="2448"/>
          </w:tcPr>
          <w:p>
            <w:r>
              <w:rPr>
                <w:rFonts w:ascii="Arial" w:hAnsi="Arial"/>
                <w:b/>
                <w:color w:val="142C4A"/>
                <w:sz w:val="17"/>
              </w:rPr>
              <w:t>One-time data</w:t>
            </w:r>
          </w:p>
        </w:tc>
        <w:tc>
          <w:tcPr>
            <w:tcW w:type="dxa" w:w="7344"/>
          </w:tcPr>
          <w:p>
            <w:r>
              <w:rPr>
                <w:rFonts w:ascii="Arial" w:hAnsi="Arial"/>
                <w:b w:val="0"/>
                <w:color w:val="142C4A"/>
                <w:sz w:val="17"/>
              </w:rPr>
              <w:t>Add a one-time data refuel where the workflow permits it.</w:t>
            </w:r>
          </w:p>
        </w:tc>
      </w:tr>
      <w:tr>
        <w:tc>
          <w:tcPr>
            <w:tcW w:type="dxa" w:w="2448"/>
          </w:tcPr>
          <w:p>
            <w:r>
              <w:rPr>
                <w:rFonts w:ascii="Arial" w:hAnsi="Arial"/>
                <w:b/>
                <w:color w:val="142C4A"/>
                <w:sz w:val="17"/>
              </w:rPr>
              <w:t>Phone actions</w:t>
            </w:r>
          </w:p>
        </w:tc>
        <w:tc>
          <w:tcPr>
            <w:tcW w:type="dxa" w:w="7344"/>
          </w:tcPr>
          <w:p>
            <w:r>
              <w:rPr>
                <w:rFonts w:ascii="Arial" w:hAnsi="Arial"/>
                <w:b w:val="0"/>
                <w:color w:val="142C4A"/>
                <w:sz w:val="17"/>
              </w:rPr>
              <w:t>Guide customer-side actions such as settings changes, resets, reseating, and reboot.</w:t>
            </w:r>
          </w:p>
        </w:tc>
      </w:tr>
      <w:tr>
        <w:tc>
          <w:tcPr>
            <w:tcW w:type="dxa" w:w="2448"/>
          </w:tcPr>
          <w:p>
            <w:r>
              <w:rPr>
                <w:rFonts w:ascii="Arial" w:hAnsi="Arial"/>
                <w:b/>
                <w:color w:val="142C4A"/>
                <w:sz w:val="17"/>
              </w:rPr>
              <w:t>Phone checks</w:t>
            </w:r>
          </w:p>
        </w:tc>
        <w:tc>
          <w:tcPr>
            <w:tcW w:type="dxa" w:w="7344"/>
          </w:tcPr>
          <w:p>
            <w:r>
              <w:rPr>
                <w:rFonts w:ascii="Arial" w:hAnsi="Arial"/>
                <w:b w:val="0"/>
                <w:color w:val="142C4A"/>
                <w:sz w:val="17"/>
              </w:rPr>
              <w:t>Guide the customer through the available checks and use the returned result.</w:t>
            </w:r>
          </w:p>
        </w:tc>
      </w:tr>
      <w:tr>
        <w:tc>
          <w:tcPr>
            <w:tcW w:type="dxa" w:w="2448"/>
          </w:tcPr>
          <w:p>
            <w:r>
              <w:rPr>
                <w:rFonts w:ascii="Arial" w:hAnsi="Arial"/>
                <w:b/>
                <w:color w:val="142C4A"/>
                <w:sz w:val="17"/>
              </w:rPr>
              <w:t>Human handoff</w:t>
            </w:r>
          </w:p>
        </w:tc>
        <w:tc>
          <w:tcPr>
            <w:tcW w:type="dxa" w:w="7344"/>
          </w:tcPr>
          <w:p>
            <w:r>
              <w:rPr>
                <w:rFonts w:ascii="Arial" w:hAnsi="Arial"/>
                <w:b w:val="0"/>
                <w:color w:val="142C4A"/>
                <w:sz w:val="17"/>
              </w:rPr>
              <w:t>Transfer when the request cannot be handled within the handbook or a policy step requires it; the transfer playbook controls the handoff.</w:t>
            </w:r>
          </w:p>
        </w:tc>
      </w:tr>
    </w:tbl>
    <w:p>
      <w:pPr>
        <w:spacing w:after="120" w:line="269" w:lineRule="auto"/>
      </w:pPr>
      <w:r>
        <w:rPr>
          <w:rFonts w:ascii="Arial" w:hAnsi="Arial"/>
          <w:b/>
          <w:color w:val="142C4A"/>
          <w:sz w:val="19"/>
        </w:rPr>
        <w:t>Closed-list rule:</w:t>
      </w:r>
      <w:r>
        <w:rPr>
          <w:rFonts w:ascii="Arial" w:hAnsi="Arial"/>
          <w:b w:val="0"/>
          <w:color w:val="142C4A"/>
          <w:sz w:val="19"/>
        </w:rPr>
        <w:t xml:space="preserve"> the areas above, plus the approved affected-line plan-selection path documented in the December 13 decision, are the complete supported set for this channel. Similar or convenient work is not implied by proximity.</w:t>
      </w:r>
    </w:p>
    <w:p>
      <w:r>
        <w:br w:type="page"/>
      </w:r>
    </w:p>
    <w:p>
      <w:pPr>
        <w:spacing w:before="200" w:after="100"/>
      </w:pPr>
      <w:r>
        <w:rPr>
          <w:rFonts w:ascii="Arial" w:hAnsi="Arial"/>
          <w:b/>
          <w:color w:val="2864DC"/>
          <w:sz w:val="28"/>
        </w:rPr>
        <w:t>3  Boundaries that do not move with convenience</w:t>
      </w:r>
    </w:p>
    <w:p>
      <w:pPr>
        <w:pStyle w:val="ListBullet"/>
        <w:spacing w:after="80"/>
      </w:pPr>
      <w:r>
        <w:rPr>
          <w:rFonts w:ascii="Arial" w:hAnsi="Arial"/>
          <w:b w:val="0"/>
          <w:color w:val="142C4A"/>
          <w:sz w:val="19"/>
        </w:rPr>
        <w:t>Do not renew a contract that has ended.</w:t>
      </w:r>
    </w:p>
    <w:p>
      <w:pPr>
        <w:pStyle w:val="ListBullet"/>
        <w:spacing w:after="80"/>
      </w:pPr>
      <w:r>
        <w:rPr>
          <w:rFonts w:ascii="Arial" w:hAnsi="Arial"/>
          <w:b w:val="0"/>
          <w:color w:val="142C4A"/>
          <w:sz w:val="19"/>
        </w:rPr>
        <w:t>Do not reopen a line that is already closed.</w:t>
      </w:r>
    </w:p>
    <w:p>
      <w:pPr>
        <w:pStyle w:val="ListBullet"/>
        <w:spacing w:after="80"/>
      </w:pPr>
      <w:r>
        <w:rPr>
          <w:rFonts w:ascii="Arial" w:hAnsi="Arial"/>
          <w:b w:val="0"/>
          <w:color w:val="142C4A"/>
          <w:sz w:val="19"/>
        </w:rPr>
        <w:t>Do not bypass, override, or reset a locked SIM security state through an unsupported path.</w:t>
      </w:r>
    </w:p>
    <w:p>
      <w:pPr>
        <w:pStyle w:val="ListBullet"/>
        <w:spacing w:after="80"/>
      </w:pPr>
      <w:r>
        <w:rPr>
          <w:rFonts w:ascii="Arial" w:hAnsi="Arial"/>
          <w:b w:val="0"/>
          <w:color w:val="142C4A"/>
          <w:sz w:val="19"/>
        </w:rPr>
        <w:t>Do not create new customer-account fields, hidden notes, or substitute fields outside the documented record.</w:t>
      </w:r>
    </w:p>
    <w:p>
      <w:pPr>
        <w:pStyle w:val="ListBullet"/>
        <w:spacing w:after="80"/>
      </w:pPr>
      <w:r>
        <w:rPr>
          <w:rFonts w:ascii="Arial" w:hAnsi="Arial"/>
          <w:b w:val="0"/>
          <w:color w:val="142C4A"/>
          <w:sz w:val="19"/>
        </w:rPr>
        <w:t>Deny requests that are against policy; convenience does not expand the supported scope.</w:t>
      </w:r>
    </w:p>
    <w:p>
      <w:pPr>
        <w:spacing w:before="200" w:after="100"/>
      </w:pPr>
      <w:r>
        <w:rPr>
          <w:rFonts w:ascii="Arial" w:hAnsi="Arial"/>
          <w:b/>
          <w:color w:val="2864DC"/>
          <w:sz w:val="28"/>
        </w:rPr>
        <w:t>4  Decision examples</w:t>
      </w:r>
    </w:p>
    <w:p>
      <w:pPr>
        <w:spacing w:after="120" w:line="269" w:lineRule="auto"/>
      </w:pPr>
      <w:r>
        <w:rPr>
          <w:rFonts w:ascii="Arial" w:hAnsi="Arial"/>
          <w:b/>
          <w:color w:val="142C4A"/>
          <w:sz w:val="19"/>
        </w:rPr>
        <w:t>Customer's contract ended:</w:t>
      </w:r>
      <w:r>
        <w:rPr>
          <w:rFonts w:ascii="Arial" w:hAnsi="Arial"/>
          <w:b w:val="0"/>
          <w:color w:val="142C4A"/>
          <w:sz w:val="19"/>
        </w:rPr>
        <w:t xml:space="preserve"> Do not attempt service recovery as a substitute for renewal. Follow the person-handled path.</w:t>
      </w:r>
    </w:p>
    <w:p>
      <w:pPr>
        <w:spacing w:after="120" w:line="269" w:lineRule="auto"/>
      </w:pPr>
      <w:r>
        <w:rPr>
          <w:rFonts w:ascii="Arial" w:hAnsi="Arial"/>
          <w:b/>
          <w:color w:val="142C4A"/>
          <w:sz w:val="19"/>
        </w:rPr>
        <w:t>Customer wants a private reminder field:</w:t>
      </w:r>
      <w:r>
        <w:rPr>
          <w:rFonts w:ascii="Arial" w:hAnsi="Arial"/>
          <w:b w:val="0"/>
          <w:color w:val="142C4A"/>
          <w:sz w:val="19"/>
        </w:rPr>
        <w:t xml:space="preserve"> Do not add or repurpose a record field. Explain the supported scope and transfer only if the handbook calls for it.</w:t>
      </w:r>
    </w:p>
    <w:p>
      <w:pPr>
        <w:spacing w:after="120" w:line="269" w:lineRule="auto"/>
      </w:pPr>
      <w:r>
        <w:rPr>
          <w:rFonts w:ascii="Arial" w:hAnsi="Arial"/>
          <w:b/>
          <w:color w:val="142C4A"/>
          <w:sz w:val="19"/>
        </w:rPr>
        <w:t>Active line needs roaming abroad:</w:t>
      </w:r>
      <w:r>
        <w:rPr>
          <w:rFonts w:ascii="Arial" w:hAnsi="Arial"/>
          <w:b w:val="0"/>
          <w:color w:val="142C4A"/>
          <w:sz w:val="19"/>
        </w:rPr>
        <w:t xml:space="preserve"> The carrier roaming control is supported, subject to the exact explanation and confirmation gate.</w:t>
      </w:r>
    </w:p>
    <w:p>
      <w:pPr>
        <w:spacing w:after="120" w:line="269" w:lineRule="auto"/>
      </w:pPr>
      <w:r>
        <w:rPr>
          <w:rFonts w:ascii="Arial" w:hAnsi="Arial"/>
          <w:b/>
          <w:color w:val="142C4A"/>
          <w:sz w:val="19"/>
        </w:rPr>
        <w:t>Customer asks to change plan:</w:t>
      </w:r>
      <w:r>
        <w:rPr>
          <w:rFonts w:ascii="Arial" w:hAnsi="Arial"/>
          <w:b w:val="0"/>
          <w:color w:val="142C4A"/>
          <w:sz w:val="19"/>
        </w:rPr>
        <w:t xml:space="preserve"> Use the approved plan-selection path: show available plans, use the customer's selection, state the new monthly price, and confirm before submitting.</w:t>
      </w:r>
    </w:p>
    <w:p>
      <w:pPr>
        <w:spacing w:after="120" w:line="269" w:lineRule="auto"/>
      </w:pPr>
      <w:r>
        <w:rPr>
          <w:rFonts w:ascii="Arial" w:hAnsi="Arial"/>
          <w:b/>
          <w:color w:val="142C4A"/>
          <w:sz w:val="19"/>
        </w:rPr>
        <w:t>Device needs an eSIM profile re-push:</w:t>
      </w:r>
      <w:r>
        <w:rPr>
          <w:rFonts w:ascii="Arial" w:hAnsi="Arial"/>
          <w:b w:val="0"/>
          <w:color w:val="142C4A"/>
          <w:sz w:val="19"/>
        </w:rPr>
        <w:t xml:space="preserve"> Read the profile state and route to SIM operations with a complete note. Provisioning writes, and the retry handling behind them, remain with SIM operations per the April 2026 refresh.</w:t>
      </w:r>
    </w:p>
    <w:p>
      <w:pPr>
        <w:spacing w:after="120" w:line="269" w:lineRule="auto"/>
      </w:pPr>
      <w:r>
        <w:rPr>
          <w:rFonts w:ascii="Arial" w:hAnsi="Arial"/>
          <w:b/>
          <w:color w:val="142C4A"/>
          <w:sz w:val="19"/>
        </w:rPr>
        <w:t>Two payers want to split an overdue balance:</w:t>
      </w:r>
      <w:r>
        <w:rPr>
          <w:rFonts w:ascii="Arial" w:hAnsi="Arial"/>
          <w:b w:val="0"/>
          <w:color w:val="142C4A"/>
          <w:sz w:val="19"/>
        </w:rPr>
        <w:t xml:space="preserve"> Payment support covers the household; the billing workflow's own request handling governs how many requests can run and in what order. Follow the current billing procedure rather than improvising a parallel path.</w:t>
      </w:r>
    </w:p>
    <w:p>
      <w:pPr>
        <w:spacing w:before="200" w:after="100"/>
      </w:pPr>
      <w:r>
        <w:rPr>
          <w:rFonts w:ascii="Arial" w:hAnsi="Arial"/>
          <w:b/>
          <w:color w:val="2864DC"/>
          <w:sz w:val="28"/>
        </w:rPr>
        <w:t>5  Version control and cross-references</w:t>
      </w:r>
    </w:p>
    <w:p>
      <w:pPr>
        <w:spacing w:after="120" w:line="269" w:lineRule="auto"/>
      </w:pPr>
      <w:r>
        <w:rPr>
          <w:rFonts w:ascii="Arial" w:hAnsi="Arial"/>
          <w:b w:val="0"/>
          <w:color w:val="142C4A"/>
          <w:sz w:val="19"/>
        </w:rPr>
        <w:t>This edition records the April 2026 annual refresh; the refresh thread and the May 12 route-SLA review with SIM operations hold the surrounding discussion. For conduct, closure, and transfer mechanics, use QA Rubric v3 and Transfer Playbook v3, which the refresh left unchanged. For field meanings, billing states, allowance logic, and expected phone behavior, use the Console &amp; Phone Dictionary, Billing &amp; Data Control workbook, and Device Behavior Reference; billing-state pages carry their own dated revisions where the 2026 billing changes landed.</w:t>
      </w:r>
    </w:p>
    <w:sectPr w:rsidR="00FC693F" w:rsidRPr="0006063C" w:rsidSect="00034616">
      <w:headerReference w:type="default" r:id="rId9"/>
      <w:footerReference w:type="default" r:id="rId10"/>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color w:val="5B6777"/>
        <w:sz w:val="16"/>
      </w:rPr>
      <w:t>Internal care reference  •  Effective May 2, 2026 EDT  •  Controlled copy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5472"/>
      <w:gridCol w:w="4406"/>
    </w:tblGrid>
    <w:tr>
      <w:tc>
        <w:tcPr>
          <w:tcW w:type="dxa" w:w="4939"/>
        </w:tcPr>
        <w:p>
          <w:r>
            <w:rPr>
              <w:rFonts w:ascii="Arial" w:hAnsi="Arial"/>
              <w:b/>
              <w:color w:val="5B6777"/>
              <w:sz w:val="16"/>
            </w:rPr>
            <w:t>NORTHSTAR MOBILE  |  CARE OPERATIONS</w:t>
          </w:r>
        </w:p>
      </w:tc>
      <w:tc>
        <w:tcPr>
          <w:tcW w:type="dxa" w:w="4939"/>
        </w:tcPr>
        <w:p>
          <w:pPr>
            <w:jc w:val="right"/>
          </w:pPr>
          <w:r>
            <w:rPr>
              <w:rFonts w:ascii="Arial" w:hAnsi="Arial"/>
              <w:b w:val="0"/>
              <w:color w:val="5B6777"/>
              <w:sz w:val="16"/>
            </w:rPr>
            <w:t>SERVICE FOUNDATIONS  •  CONTROLLED COPY</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Pages>
  <Words>599</Words>
  <Characters>3330</Characters>
  <Application>Microsoft Macintosh Word</Application>
  <DocSecurity>0</DocSecurity>
  <Lines>49</Lines>
  <Paragraphs>51</Paragraphs>
  <ScaleCrop>false</ScaleCrop>
  <HeadingPairs>
    <vt:vector size="2" baseType="variant">
      <vt:variant>
        <vt:lpstr>Title</vt:lpstr>
      </vt:variant>
      <vt:variant>
        <vt:i4>1</vt:i4>
      </vt:variant>
    </vt:vector>
  </HeadingPairs>
  <TitlesOfParts>
    <vt:vector size="1" baseType="lpstr">
      <vt:lpstr>Care Scope &amp; Boundaries v4</vt:lpstr>
    </vt:vector>
  </TitlesOfParts>
  <Manager/>
  <Company>NorthStar Mobile</Company>
  <LinksUpToDate>false</LinksUpToDate>
  <CharactersWithSpaces>3928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 Scope &amp; Boundaries v4</dc:title>
  <dc:subject>Assisted-care supported scope and boundaries</dc:subject>
  <dc:creator>NorthStar Mobile Service Foundations</dc:creator>
  <cp:keywords/>
  <dc:description/>
  <cp:lastModifiedBy>Lena Park</cp:lastModifiedBy>
  <cp:revision>1</cp:revision>
  <dcterms:created xsi:type="dcterms:W3CDTF">2026-04-24T18:10:00Z</dcterms:created>
  <dcterms:modified xsi:type="dcterms:W3CDTF">2026-05-02T13:30:00Z</dcterms:modified>
  <cp:category/>
</cp:coreProperties>
</file>