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rial" w:hAnsi="Arial"/>
          <w:b/>
          <w:color w:val="2864DC"/>
          <w:sz w:val="18"/>
        </w:rPr>
        <w:t>POLICY REFERENCE  |  VERSION 3</w:t>
      </w:r>
    </w:p>
    <w:p>
      <w:pPr>
        <w:spacing w:after="80"/>
      </w:pPr>
      <w:r>
        <w:rPr>
          <w:rFonts w:ascii="Arial" w:hAnsi="Arial"/>
          <w:b/>
          <w:color w:val="142C4A"/>
          <w:sz w:val="50"/>
        </w:rPr>
        <w:t>Care scope &amp; boundaries</w:t>
      </w:r>
    </w:p>
    <w:p>
      <w:pPr>
        <w:spacing w:after="320"/>
      </w:pPr>
      <w:r>
        <w:rPr>
          <w:rFonts w:ascii="Arial" w:hAnsi="Arial"/>
          <w:b w:val="0"/>
          <w:color w:val="5B6777"/>
          <w:sz w:val="23"/>
        </w:rPr>
        <w:t>Supported account, billing, carrier, and phone-assistance work for the service-foundations launch</w:t>
      </w:r>
    </w:p>
    <w:tbl>
      <w:tblPr>
        <w:tblW w:type="auto" w:w="0"/>
        <w:jc w:val="left"/>
        <w:tblLayout w:type="fixed"/>
        <w:tblLook w:firstColumn="1" w:firstRow="1" w:lastColumn="0" w:lastRow="0" w:noHBand="0" w:noVBand="1" w:val="04A0"/>
      </w:tblPr>
      <w:tblGrid>
        <w:gridCol w:w="1944"/>
        <w:gridCol w:w="7848"/>
      </w:tblGrid>
      <w:tr>
        <w:tc>
          <w:tcPr>
            <w:tcW w:type="dxa" w:w="4939"/>
            <w:shd w:fill="EAF0FB"/>
            <w:vAlign w:val="center"/>
          </w:tcPr>
          <w:p>
            <w:pPr>
              <w:spacing w:after="0"/>
            </w:pPr>
            <w:r>
              <w:rPr>
                <w:rFonts w:ascii="Arial" w:hAnsi="Arial"/>
                <w:b/>
                <w:color w:val="2864DC"/>
                <w:sz w:val="16"/>
              </w:rPr>
              <w:t>OWNER</w:t>
            </w:r>
          </w:p>
        </w:tc>
        <w:tc>
          <w:tcPr>
            <w:tcW w:type="dxa" w:w="4939"/>
            <w:vAlign w:val="center"/>
          </w:tcPr>
          <w:p>
            <w:pPr>
              <w:spacing w:after="0"/>
            </w:pPr>
            <w:r>
              <w:rPr>
                <w:rFonts w:ascii="Arial" w:hAnsi="Arial"/>
                <w:b w:val="0"/>
                <w:color w:val="142C4A"/>
                <w:sz w:val="17"/>
              </w:rPr>
              <w:t>Priya Shah, Care Policy</w:t>
            </w:r>
          </w:p>
        </w:tc>
      </w:tr>
      <w:tr>
        <w:tc>
          <w:tcPr>
            <w:tcW w:type="dxa" w:w="4939"/>
            <w:shd w:fill="EAF0FB"/>
            <w:vAlign w:val="center"/>
          </w:tcPr>
          <w:p>
            <w:pPr>
              <w:spacing w:after="0"/>
            </w:pPr>
            <w:r>
              <w:rPr>
                <w:rFonts w:ascii="Arial" w:hAnsi="Arial"/>
                <w:b/>
                <w:color w:val="2864DC"/>
                <w:sz w:val="16"/>
              </w:rPr>
              <w:t>APPROVED</w:t>
            </w:r>
          </w:p>
        </w:tc>
        <w:tc>
          <w:tcPr>
            <w:tcW w:type="dxa" w:w="4939"/>
            <w:vAlign w:val="center"/>
          </w:tcPr>
          <w:p>
            <w:pPr>
              <w:spacing w:after="0"/>
            </w:pPr>
            <w:r>
              <w:rPr>
                <w:rFonts w:ascii="Arial" w:hAnsi="Arial"/>
                <w:b w:val="0"/>
                <w:color w:val="142C4A"/>
                <w:sz w:val="17"/>
              </w:rPr>
              <w:t>Service Foundations launch-readiness review — February 21, 2025 EST</w:t>
            </w:r>
          </w:p>
        </w:tc>
      </w:tr>
      <w:tr>
        <w:tc>
          <w:tcPr>
            <w:tcW w:type="dxa" w:w="4939"/>
            <w:shd w:fill="EAF0FB"/>
            <w:vAlign w:val="center"/>
          </w:tcPr>
          <w:p>
            <w:pPr>
              <w:spacing w:after="0"/>
            </w:pPr>
            <w:r>
              <w:rPr>
                <w:rFonts w:ascii="Arial" w:hAnsi="Arial"/>
                <w:b/>
                <w:color w:val="2864DC"/>
                <w:sz w:val="16"/>
              </w:rPr>
              <w:t>EFFECTIVE</w:t>
            </w:r>
          </w:p>
        </w:tc>
        <w:tc>
          <w:tcPr>
            <w:tcW w:type="dxa" w:w="4939"/>
            <w:vAlign w:val="center"/>
          </w:tcPr>
          <w:p>
            <w:pPr>
              <w:spacing w:after="0"/>
            </w:pPr>
            <w:r>
              <w:rPr>
                <w:rFonts w:ascii="Arial" w:hAnsi="Arial"/>
                <w:b w:val="0"/>
                <w:color w:val="142C4A"/>
                <w:sz w:val="17"/>
              </w:rPr>
              <w:t>February 21, 2025 EST</w:t>
            </w:r>
          </w:p>
        </w:tc>
      </w:tr>
      <w:tr>
        <w:tc>
          <w:tcPr>
            <w:tcW w:type="dxa" w:w="4939"/>
            <w:shd w:fill="EAF0FB"/>
            <w:vAlign w:val="center"/>
          </w:tcPr>
          <w:p>
            <w:pPr>
              <w:spacing w:after="0"/>
            </w:pPr>
            <w:r>
              <w:rPr>
                <w:rFonts w:ascii="Arial" w:hAnsi="Arial"/>
                <w:b/>
                <w:color w:val="2864DC"/>
                <w:sz w:val="16"/>
              </w:rPr>
              <w:t>REPLACES</w:t>
            </w:r>
          </w:p>
        </w:tc>
        <w:tc>
          <w:tcPr>
            <w:tcW w:type="dxa" w:w="4939"/>
            <w:vAlign w:val="center"/>
          </w:tcPr>
          <w:p>
            <w:pPr>
              <w:spacing w:after="0"/>
            </w:pPr>
            <w:r>
              <w:rPr>
                <w:rFonts w:ascii="Arial" w:hAnsi="Arial"/>
                <w:b w:val="0"/>
                <w:color w:val="142C4A"/>
                <w:sz w:val="17"/>
              </w:rPr>
              <w:t>Scope matrix review — December 6, 2024</w:t>
            </w:r>
          </w:p>
        </w:tc>
      </w:tr>
      <w:tr>
        <w:tc>
          <w:tcPr>
            <w:tcW w:type="dxa" w:w="4939"/>
            <w:shd w:fill="EAF0FB"/>
            <w:vAlign w:val="center"/>
          </w:tcPr>
          <w:p>
            <w:pPr>
              <w:spacing w:after="0"/>
            </w:pPr>
            <w:r>
              <w:rPr>
                <w:rFonts w:ascii="Arial" w:hAnsi="Arial"/>
                <w:b/>
                <w:color w:val="2864DC"/>
                <w:sz w:val="16"/>
              </w:rPr>
              <w:t>RELATED</w:t>
            </w:r>
          </w:p>
        </w:tc>
        <w:tc>
          <w:tcPr>
            <w:tcW w:type="dxa" w:w="4939"/>
            <w:vAlign w:val="center"/>
          </w:tcPr>
          <w:p>
            <w:pPr>
              <w:spacing w:after="0"/>
            </w:pPr>
            <w:r>
              <w:rPr>
                <w:rFonts w:ascii="Arial" w:hAnsi="Arial"/>
                <w:b w:val="0"/>
                <w:color w:val="142C4A"/>
                <w:sz w:val="17"/>
              </w:rPr>
              <w:t>December 13 assisted-plan decision; February 25 rollout ledger</w:t>
            </w:r>
          </w:p>
        </w:tc>
      </w:tr>
    </w:tbl>
    <w:p>
      <w:pPr>
        <w:spacing w:before="200" w:after="100"/>
      </w:pPr>
      <w:r>
        <w:rPr>
          <w:rFonts w:ascii="Arial" w:hAnsi="Arial"/>
          <w:b/>
          <w:color w:val="2864DC"/>
          <w:sz w:val="28"/>
        </w:rPr>
        <w:t>1  How to read this document</w:t>
      </w:r>
    </w:p>
    <w:p>
      <w:pPr>
        <w:spacing w:after="120" w:line="269" w:lineRule="auto"/>
      </w:pPr>
      <w:r>
        <w:rPr>
          <w:rFonts w:ascii="Arial" w:hAnsi="Arial"/>
          <w:b w:val="0"/>
          <w:color w:val="142C4A"/>
          <w:sz w:val="19"/>
        </w:rPr>
        <w:t>This is the effective launch reference for assisted-care scope. Older files remain in the packet to show the decision trail; their proposals and examples do not expand this list. The December 13 email separately records the approved plan-selection workflow.</w:t>
      </w:r>
    </w:p>
    <w:p>
      <w:pPr>
        <w:spacing w:before="200" w:after="100"/>
      </w:pPr>
      <w:r>
        <w:rPr>
          <w:rFonts w:ascii="Arial" w:hAnsi="Arial"/>
          <w:b/>
          <w:color w:val="2864DC"/>
          <w:sz w:val="28"/>
        </w:rPr>
        <w:t>2  Complete supported scope</w:t>
      </w:r>
    </w:p>
    <w:tbl>
      <w:tblPr>
        <w:tblW w:type="auto" w:w="0"/>
        <w:jc w:val="left"/>
        <w:tblLayout w:type="fixed"/>
        <w:tblLook w:firstColumn="1" w:firstRow="1" w:lastColumn="0" w:lastRow="0" w:noHBand="0" w:noVBand="1" w:val="04A0"/>
      </w:tblPr>
      <w:tblGrid>
        <w:gridCol w:w="2448"/>
        <w:gridCol w:w="7344"/>
      </w:tblGrid>
      <w:tr>
        <w:tc>
          <w:tcPr>
            <w:tcW w:type="dxa" w:w="4939"/>
            <w:shd w:fill="17345D"/>
          </w:tcPr>
          <w:p>
            <w:r>
              <w:rPr>
                <w:rFonts w:ascii="Arial" w:hAnsi="Arial"/>
                <w:b/>
                <w:color w:val="FFFFFF"/>
                <w:sz w:val="16"/>
              </w:rPr>
              <w:t>SUPPORTED AREA</w:t>
            </w:r>
          </w:p>
        </w:tc>
        <w:tc>
          <w:tcPr>
            <w:tcW w:type="dxa" w:w="4939"/>
            <w:shd w:fill="17345D"/>
          </w:tcPr>
          <w:p>
            <w:r>
              <w:rPr>
                <w:rFonts w:ascii="Arial" w:hAnsi="Arial"/>
                <w:b/>
                <w:color w:val="FFFFFF"/>
                <w:sz w:val="16"/>
              </w:rPr>
              <w:t>WHAT ASSISTED CARE MAY DO</w:t>
            </w:r>
          </w:p>
        </w:tc>
      </w:tr>
      <w:tr>
        <w:tc>
          <w:tcPr>
            <w:tcW w:type="dxa" w:w="2448"/>
          </w:tcPr>
          <w:p>
            <w:r>
              <w:rPr>
                <w:rFonts w:ascii="Arial" w:hAnsi="Arial"/>
                <w:b/>
                <w:color w:val="142C4A"/>
                <w:sz w:val="17"/>
              </w:rPr>
              <w:t>Account and records</w:t>
            </w:r>
          </w:p>
        </w:tc>
        <w:tc>
          <w:tcPr>
            <w:tcW w:type="dxa" w:w="7344"/>
          </w:tcPr>
          <w:p>
            <w:r>
              <w:rPr>
                <w:rFonts w:ascii="Arial" w:hAnsi="Arial"/>
                <w:b w:val="0"/>
                <w:color w:val="142C4A"/>
                <w:sz w:val="17"/>
              </w:rPr>
              <w:t>Look up the customer's account and the documented customer record.</w:t>
            </w:r>
          </w:p>
        </w:tc>
      </w:tr>
      <w:tr>
        <w:tc>
          <w:tcPr>
            <w:tcW w:type="dxa" w:w="2448"/>
          </w:tcPr>
          <w:p>
            <w:r>
              <w:rPr>
                <w:rFonts w:ascii="Arial" w:hAnsi="Arial"/>
                <w:b/>
                <w:color w:val="142C4A"/>
                <w:sz w:val="17"/>
              </w:rPr>
              <w:t>Payment support</w:t>
            </w:r>
          </w:p>
        </w:tc>
        <w:tc>
          <w:tcPr>
            <w:tcW w:type="dxa" w:w="7344"/>
          </w:tcPr>
          <w:p>
            <w:r>
              <w:rPr>
                <w:rFonts w:ascii="Arial" w:hAnsi="Arial"/>
                <w:b w:val="0"/>
                <w:color w:val="142C4A"/>
                <w:sz w:val="17"/>
              </w:rPr>
              <w:t>Send a payment request and help the customer complete payment from the phone.</w:t>
            </w:r>
          </w:p>
        </w:tc>
      </w:tr>
      <w:tr>
        <w:tc>
          <w:tcPr>
            <w:tcW w:type="dxa" w:w="2448"/>
          </w:tcPr>
          <w:p>
            <w:r>
              <w:rPr>
                <w:rFonts w:ascii="Arial" w:hAnsi="Arial"/>
                <w:b/>
                <w:color w:val="142C4A"/>
                <w:sz w:val="17"/>
              </w:rPr>
              <w:t>Suspended-line resumption</w:t>
            </w:r>
          </w:p>
        </w:tc>
        <w:tc>
          <w:tcPr>
            <w:tcW w:type="dxa" w:w="7344"/>
          </w:tcPr>
          <w:p>
            <w:r>
              <w:rPr>
                <w:rFonts w:ascii="Arial" w:hAnsi="Arial"/>
                <w:b w:val="0"/>
                <w:color w:val="142C4A"/>
                <w:sz w:val="17"/>
              </w:rPr>
              <w:t>Resume a suspended line when the applicable policy permits it.</w:t>
            </w:r>
          </w:p>
        </w:tc>
      </w:tr>
      <w:tr>
        <w:tc>
          <w:tcPr>
            <w:tcW w:type="dxa" w:w="2448"/>
          </w:tcPr>
          <w:p>
            <w:r>
              <w:rPr>
                <w:rFonts w:ascii="Arial" w:hAnsi="Arial"/>
                <w:b/>
                <w:color w:val="142C4A"/>
                <w:sz w:val="17"/>
              </w:rPr>
              <w:t>Carrier roaming</w:t>
            </w:r>
          </w:p>
        </w:tc>
        <w:tc>
          <w:tcPr>
            <w:tcW w:type="dxa" w:w="7344"/>
          </w:tcPr>
          <w:p>
            <w:r>
              <w:rPr>
                <w:rFonts w:ascii="Arial" w:hAnsi="Arial"/>
                <w:b w:val="0"/>
                <w:color w:val="142C4A"/>
                <w:sz w:val="17"/>
              </w:rPr>
              <w:t>Enable or disable the carrier-side roaming allowance on an active affected line.</w:t>
            </w:r>
          </w:p>
        </w:tc>
      </w:tr>
      <w:tr>
        <w:tc>
          <w:tcPr>
            <w:tcW w:type="dxa" w:w="2448"/>
          </w:tcPr>
          <w:p>
            <w:r>
              <w:rPr>
                <w:rFonts w:ascii="Arial" w:hAnsi="Arial"/>
                <w:b/>
                <w:color w:val="142C4A"/>
                <w:sz w:val="17"/>
              </w:rPr>
              <w:t>One-time data</w:t>
            </w:r>
          </w:p>
        </w:tc>
        <w:tc>
          <w:tcPr>
            <w:tcW w:type="dxa" w:w="7344"/>
          </w:tcPr>
          <w:p>
            <w:r>
              <w:rPr>
                <w:rFonts w:ascii="Arial" w:hAnsi="Arial"/>
                <w:b w:val="0"/>
                <w:color w:val="142C4A"/>
                <w:sz w:val="17"/>
              </w:rPr>
              <w:t>Add a one-time data refuel where the workflow permits it.</w:t>
            </w:r>
          </w:p>
        </w:tc>
      </w:tr>
      <w:tr>
        <w:tc>
          <w:tcPr>
            <w:tcW w:type="dxa" w:w="2448"/>
          </w:tcPr>
          <w:p>
            <w:r>
              <w:rPr>
                <w:rFonts w:ascii="Arial" w:hAnsi="Arial"/>
                <w:b/>
                <w:color w:val="142C4A"/>
                <w:sz w:val="17"/>
              </w:rPr>
              <w:t>Phone actions</w:t>
            </w:r>
          </w:p>
        </w:tc>
        <w:tc>
          <w:tcPr>
            <w:tcW w:type="dxa" w:w="7344"/>
          </w:tcPr>
          <w:p>
            <w:r>
              <w:rPr>
                <w:rFonts w:ascii="Arial" w:hAnsi="Arial"/>
                <w:b w:val="0"/>
                <w:color w:val="142C4A"/>
                <w:sz w:val="17"/>
              </w:rPr>
              <w:t>Guide customer-side actions such as settings changes, resets, reseating, and reboot.</w:t>
            </w:r>
          </w:p>
        </w:tc>
      </w:tr>
      <w:tr>
        <w:tc>
          <w:tcPr>
            <w:tcW w:type="dxa" w:w="2448"/>
          </w:tcPr>
          <w:p>
            <w:r>
              <w:rPr>
                <w:rFonts w:ascii="Arial" w:hAnsi="Arial"/>
                <w:b/>
                <w:color w:val="142C4A"/>
                <w:sz w:val="17"/>
              </w:rPr>
              <w:t>Phone checks</w:t>
            </w:r>
          </w:p>
        </w:tc>
        <w:tc>
          <w:tcPr>
            <w:tcW w:type="dxa" w:w="7344"/>
          </w:tcPr>
          <w:p>
            <w:r>
              <w:rPr>
                <w:rFonts w:ascii="Arial" w:hAnsi="Arial"/>
                <w:b w:val="0"/>
                <w:color w:val="142C4A"/>
                <w:sz w:val="17"/>
              </w:rPr>
              <w:t>Guide the customer through the available checks and use the returned result.</w:t>
            </w:r>
          </w:p>
        </w:tc>
      </w:tr>
      <w:tr>
        <w:tc>
          <w:tcPr>
            <w:tcW w:type="dxa" w:w="2448"/>
          </w:tcPr>
          <w:p>
            <w:r>
              <w:rPr>
                <w:rFonts w:ascii="Arial" w:hAnsi="Arial"/>
                <w:b/>
                <w:color w:val="142C4A"/>
                <w:sz w:val="17"/>
              </w:rPr>
              <w:t>Human handoff</w:t>
            </w:r>
          </w:p>
        </w:tc>
        <w:tc>
          <w:tcPr>
            <w:tcW w:type="dxa" w:w="7344"/>
          </w:tcPr>
          <w:p>
            <w:r>
              <w:rPr>
                <w:rFonts w:ascii="Arial" w:hAnsi="Arial"/>
                <w:b w:val="0"/>
                <w:color w:val="142C4A"/>
                <w:sz w:val="17"/>
              </w:rPr>
              <w:t>Transfer when the request cannot be handled within the handbook or a policy step requires it; the transfer playbook controls the handoff.</w:t>
            </w:r>
          </w:p>
        </w:tc>
      </w:tr>
    </w:tbl>
    <w:p>
      <w:pPr>
        <w:spacing w:after="120" w:line="269" w:lineRule="auto"/>
      </w:pPr>
      <w:r>
        <w:rPr>
          <w:rFonts w:ascii="Arial" w:hAnsi="Arial"/>
          <w:b/>
          <w:color w:val="142C4A"/>
          <w:sz w:val="19"/>
        </w:rPr>
        <w:t>Closed-list rule:</w:t>
      </w:r>
      <w:r>
        <w:rPr>
          <w:rFonts w:ascii="Arial" w:hAnsi="Arial"/>
          <w:b w:val="0"/>
          <w:color w:val="142C4A"/>
          <w:sz w:val="19"/>
        </w:rPr>
        <w:t xml:space="preserve"> the areas above, plus the approved affected-line plan-selection path documented in the December 13 decision, are the complete supported set for this channel. Similar or convenient work is not implied by proximity.</w:t>
      </w:r>
    </w:p>
    <w:p>
      <w:r>
        <w:br w:type="page"/>
      </w:r>
    </w:p>
    <w:p>
      <w:pPr>
        <w:spacing w:before="200" w:after="100"/>
      </w:pPr>
      <w:r>
        <w:rPr>
          <w:rFonts w:ascii="Arial" w:hAnsi="Arial"/>
          <w:b/>
          <w:color w:val="2864DC"/>
          <w:sz w:val="28"/>
        </w:rPr>
        <w:t>3  Boundaries that do not move with convenience</w:t>
      </w:r>
    </w:p>
    <w:p>
      <w:pPr>
        <w:pStyle w:val="ListBullet"/>
        <w:spacing w:after="80"/>
      </w:pPr>
      <w:r>
        <w:rPr>
          <w:rFonts w:ascii="Arial" w:hAnsi="Arial"/>
          <w:b w:val="0"/>
          <w:color w:val="142C4A"/>
          <w:sz w:val="19"/>
        </w:rPr>
        <w:t>Do not renew a contract that has ended.</w:t>
      </w:r>
    </w:p>
    <w:p>
      <w:pPr>
        <w:pStyle w:val="ListBullet"/>
        <w:spacing w:after="80"/>
      </w:pPr>
      <w:r>
        <w:rPr>
          <w:rFonts w:ascii="Arial" w:hAnsi="Arial"/>
          <w:b w:val="0"/>
          <w:color w:val="142C4A"/>
          <w:sz w:val="19"/>
        </w:rPr>
        <w:t>Do not reopen a line that is already closed.</w:t>
      </w:r>
    </w:p>
    <w:p>
      <w:pPr>
        <w:pStyle w:val="ListBullet"/>
        <w:spacing w:after="80"/>
      </w:pPr>
      <w:r>
        <w:rPr>
          <w:rFonts w:ascii="Arial" w:hAnsi="Arial"/>
          <w:b w:val="0"/>
          <w:color w:val="142C4A"/>
          <w:sz w:val="19"/>
        </w:rPr>
        <w:t>Do not bypass, override, or reset a locked SIM security state through an unsupported path.</w:t>
      </w:r>
    </w:p>
    <w:p>
      <w:pPr>
        <w:pStyle w:val="ListBullet"/>
        <w:spacing w:after="80"/>
      </w:pPr>
      <w:r>
        <w:rPr>
          <w:rFonts w:ascii="Arial" w:hAnsi="Arial"/>
          <w:b w:val="0"/>
          <w:color w:val="142C4A"/>
          <w:sz w:val="19"/>
        </w:rPr>
        <w:t>Do not create new customer-account fields, hidden notes, or substitute fields outside the documented record.</w:t>
      </w:r>
    </w:p>
    <w:p>
      <w:pPr>
        <w:pStyle w:val="ListBullet"/>
        <w:spacing w:after="80"/>
      </w:pPr>
      <w:r>
        <w:rPr>
          <w:rFonts w:ascii="Arial" w:hAnsi="Arial"/>
          <w:b w:val="0"/>
          <w:color w:val="142C4A"/>
          <w:sz w:val="19"/>
        </w:rPr>
        <w:t>Deny requests that are against policy; convenience does not expand the supported scope.</w:t>
      </w:r>
    </w:p>
    <w:p>
      <w:pPr>
        <w:spacing w:before="200" w:after="100"/>
      </w:pPr>
      <w:r>
        <w:rPr>
          <w:rFonts w:ascii="Arial" w:hAnsi="Arial"/>
          <w:b/>
          <w:color w:val="2864DC"/>
          <w:sz w:val="28"/>
        </w:rPr>
        <w:t>4  Decision examples</w:t>
      </w:r>
    </w:p>
    <w:p>
      <w:pPr>
        <w:spacing w:after="120" w:line="269" w:lineRule="auto"/>
      </w:pPr>
      <w:r>
        <w:rPr>
          <w:rFonts w:ascii="Arial" w:hAnsi="Arial"/>
          <w:b/>
          <w:color w:val="142C4A"/>
          <w:sz w:val="19"/>
        </w:rPr>
        <w:t>Customer's contract ended:</w:t>
      </w:r>
      <w:r>
        <w:rPr>
          <w:rFonts w:ascii="Arial" w:hAnsi="Arial"/>
          <w:b w:val="0"/>
          <w:color w:val="142C4A"/>
          <w:sz w:val="19"/>
        </w:rPr>
        <w:t xml:space="preserve"> Do not attempt service recovery as a substitute for renewal. Follow the person-handled path.</w:t>
      </w:r>
    </w:p>
    <w:p>
      <w:pPr>
        <w:spacing w:after="120" w:line="269" w:lineRule="auto"/>
      </w:pPr>
      <w:r>
        <w:rPr>
          <w:rFonts w:ascii="Arial" w:hAnsi="Arial"/>
          <w:b/>
          <w:color w:val="142C4A"/>
          <w:sz w:val="19"/>
        </w:rPr>
        <w:t>Customer wants a private reminder field:</w:t>
      </w:r>
      <w:r>
        <w:rPr>
          <w:rFonts w:ascii="Arial" w:hAnsi="Arial"/>
          <w:b w:val="0"/>
          <w:color w:val="142C4A"/>
          <w:sz w:val="19"/>
        </w:rPr>
        <w:t xml:space="preserve"> Do not add or repurpose a record field. Explain the supported scope and transfer only if the handbook calls for it.</w:t>
      </w:r>
    </w:p>
    <w:p>
      <w:pPr>
        <w:spacing w:after="120" w:line="269" w:lineRule="auto"/>
      </w:pPr>
      <w:r>
        <w:rPr>
          <w:rFonts w:ascii="Arial" w:hAnsi="Arial"/>
          <w:b/>
          <w:color w:val="142C4A"/>
          <w:sz w:val="19"/>
        </w:rPr>
        <w:t>Active line needs roaming abroad:</w:t>
      </w:r>
      <w:r>
        <w:rPr>
          <w:rFonts w:ascii="Arial" w:hAnsi="Arial"/>
          <w:b w:val="0"/>
          <w:color w:val="142C4A"/>
          <w:sz w:val="19"/>
        </w:rPr>
        <w:t xml:space="preserve"> The carrier roaming control is supported, subject to the exact explanation and confirmation gate.</w:t>
      </w:r>
    </w:p>
    <w:p>
      <w:pPr>
        <w:spacing w:after="120" w:line="269" w:lineRule="auto"/>
      </w:pPr>
      <w:r>
        <w:rPr>
          <w:rFonts w:ascii="Arial" w:hAnsi="Arial"/>
          <w:b/>
          <w:color w:val="142C4A"/>
          <w:sz w:val="19"/>
        </w:rPr>
        <w:t>Customer asks to change plan:</w:t>
      </w:r>
      <w:r>
        <w:rPr>
          <w:rFonts w:ascii="Arial" w:hAnsi="Arial"/>
          <w:b w:val="0"/>
          <w:color w:val="142C4A"/>
          <w:sz w:val="19"/>
        </w:rPr>
        <w:t xml:space="preserve"> Use the approved plan-selection path: show available plans, use the customer's selection, state the new monthly price, and confirm before submitting.</w:t>
      </w:r>
    </w:p>
    <w:p>
      <w:pPr>
        <w:spacing w:before="200" w:after="100"/>
      </w:pPr>
      <w:r>
        <w:rPr>
          <w:rFonts w:ascii="Arial" w:hAnsi="Arial"/>
          <w:b/>
          <w:color w:val="2864DC"/>
          <w:sz w:val="28"/>
        </w:rPr>
        <w:t>5  Version control and cross-references</w:t>
      </w:r>
    </w:p>
    <w:p>
      <w:pPr>
        <w:spacing w:after="120" w:line="269" w:lineRule="auto"/>
      </w:pPr>
      <w:r>
        <w:rPr>
          <w:rFonts w:ascii="Arial" w:hAnsi="Arial"/>
          <w:b w:val="0"/>
          <w:color w:val="142C4A"/>
          <w:sz w:val="19"/>
        </w:rPr>
        <w:t>This version incorporates the December 13 assisted-plan decision and the January policy review. For conduct, closure, and transfer mechanics, use QA Rubric v3 and Transfer Playbook v3. For field meanings, billing states, allowance logic, and expected phone behavior, use the Console &amp; Phone Dictionary, Billing &amp; Data Control workbook, and Device Behavior Reference. The February 25 rollout ledger identifies the effective version of each family.</w:t>
      </w:r>
    </w:p>
    <w:sectPr w:rsidR="00FC693F" w:rsidRPr="0006063C" w:rsidSect="00034616">
      <w:headerReference w:type="default" r:id="rId9"/>
      <w:footerReference w:type="default" r:id="rId10"/>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color w:val="5B6777"/>
        <w:sz w:val="16"/>
      </w:rPr>
      <w:t>Internal care reference  •  Effective February 21, 2025 EST  •  Controlled copy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5472"/>
      <w:gridCol w:w="4406"/>
    </w:tblGrid>
    <w:tr>
      <w:tc>
        <w:tcPr>
          <w:tcW w:type="dxa" w:w="4939"/>
        </w:tcPr>
        <w:p>
          <w:r>
            <w:rPr>
              <w:rFonts w:ascii="Arial" w:hAnsi="Arial"/>
              <w:b/>
              <w:color w:val="5B6777"/>
              <w:sz w:val="16"/>
            </w:rPr>
            <w:t>NORTHSTAR MOBILE  |  CARE OPERATIONS</w:t>
          </w:r>
        </w:p>
      </w:tc>
      <w:tc>
        <w:tcPr>
          <w:tcW w:type="dxa" w:w="4939"/>
        </w:tcPr>
        <w:p>
          <w:pPr>
            <w:jc w:val="right"/>
          </w:pPr>
          <w:r>
            <w:rPr>
              <w:rFonts w:ascii="Arial" w:hAnsi="Arial"/>
              <w:b w:val="0"/>
              <w:color w:val="5B6777"/>
              <w:sz w:val="16"/>
            </w:rPr>
            <w:t>SERVICE FOUNDATIONS  •  CONTROLLED COPY</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2</Pages>
  <Words>494</Words>
  <Characters>2808</Characters>
  <Application>Microsoft Macintosh Word</Application>
  <DocSecurity>0</DocSecurity>
  <Lines>41</Lines>
  <Paragraphs>49</Paragraphs>
  <ScaleCrop>false</ScaleCrop>
  <HeadingPairs>
    <vt:vector size="2" baseType="variant">
      <vt:variant>
        <vt:lpstr>Title</vt:lpstr>
      </vt:variant>
      <vt:variant>
        <vt:i4>1</vt:i4>
      </vt:variant>
    </vt:vector>
  </HeadingPairs>
  <TitlesOfParts>
    <vt:vector size="1" baseType="lpstr">
      <vt:lpstr>Care Scope &amp; Boundaries v3</vt:lpstr>
    </vt:vector>
  </TitlesOfParts>
  <Manager/>
  <Company>NorthStar Mobile</Company>
  <LinksUpToDate>false</LinksUpToDate>
  <CharactersWithSpaces>3301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 Scope &amp; Boundaries v3</dc:title>
  <dc:subject>Assisted-care supported scope and boundaries</dc:subject>
  <dc:creator>NorthStar Mobile Service Foundations</dc:creator>
  <cp:keywords/>
  <dc:description/>
  <cp:lastModifiedBy>Zoe Hart</cp:lastModifiedBy>
  <cp:revision>1</cp:revision>
  <dcterms:created xsi:type="dcterms:W3CDTF">2025-02-18T19:40:00Z</dcterms:created>
  <dcterms:modified xsi:type="dcterms:W3CDTF">2025-02-21T14:00:00Z</dcterms:modified>
  <cp:category/>
</cp:coreProperties>
</file>