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CECB71">
      <w:pPr>
        <w:pStyle w:val="17"/>
        <w:keepNext w:val="0"/>
        <w:keepLines w:val="0"/>
        <w:widowControl/>
        <w:suppressLineNumbers w:val="0"/>
        <w:bidi w:val="0"/>
        <w:rPr>
          <w:sz w:val="22"/>
          <w:szCs w:val="22"/>
        </w:rPr>
      </w:pPr>
      <w:r>
        <w:rPr>
          <w:rStyle w:val="18"/>
          <w:sz w:val="22"/>
          <w:szCs w:val="22"/>
        </w:rPr>
        <w:t>IN THE HIGH COURT OF KERALA AT ERNAKULAM</w:t>
      </w:r>
      <w:r>
        <w:rPr>
          <w:sz w:val="22"/>
          <w:szCs w:val="22"/>
        </w:rPr>
        <w:br w:type="textWrapping"/>
      </w:r>
      <w:r>
        <w:rPr>
          <w:rStyle w:val="18"/>
          <w:sz w:val="22"/>
          <w:szCs w:val="22"/>
        </w:rPr>
        <w:t>(Original Jurisdiction)</w:t>
      </w:r>
      <w:r>
        <w:rPr>
          <w:sz w:val="22"/>
          <w:szCs w:val="22"/>
        </w:rPr>
        <w:br w:type="textWrapping"/>
      </w:r>
      <w:r>
        <w:rPr>
          <w:rStyle w:val="18"/>
          <w:sz w:val="22"/>
          <w:szCs w:val="22"/>
        </w:rPr>
        <w:t>Writ Petition (Civil) No. ___ of 2025</w:t>
      </w:r>
      <w:r>
        <w:rPr>
          <w:sz w:val="22"/>
          <w:szCs w:val="22"/>
        </w:rPr>
        <w:br w:type="textWrapping"/>
      </w:r>
      <w:r>
        <w:rPr>
          <w:rStyle w:val="18"/>
          <w:sz w:val="22"/>
          <w:szCs w:val="22"/>
        </w:rPr>
        <w:t>(Under Article 226 of the Constitution of India)</w:t>
      </w:r>
    </w:p>
    <w:p w14:paraId="2B54CB08">
      <w:pPr>
        <w:pStyle w:val="17"/>
        <w:keepNext w:val="0"/>
        <w:keepLines w:val="0"/>
        <w:widowControl/>
        <w:suppressLineNumbers w:val="0"/>
        <w:bidi w:val="0"/>
        <w:rPr>
          <w:sz w:val="22"/>
          <w:szCs w:val="22"/>
        </w:rPr>
      </w:pPr>
      <w:r>
        <w:rPr>
          <w:rStyle w:val="18"/>
          <w:sz w:val="22"/>
          <w:szCs w:val="22"/>
        </w:rPr>
        <w:t>IN THE MATTER OF:</w:t>
      </w:r>
    </w:p>
    <w:p w14:paraId="31150C7F">
      <w:pPr>
        <w:pStyle w:val="17"/>
        <w:keepNext w:val="0"/>
        <w:keepLines w:val="0"/>
        <w:widowControl/>
        <w:numPr>
          <w:ilvl w:val="0"/>
          <w:numId w:val="1"/>
        </w:numPr>
        <w:suppressLineNumbers w:val="0"/>
        <w:bidi w:val="0"/>
        <w:rPr>
          <w:sz w:val="22"/>
          <w:szCs w:val="22"/>
        </w:rPr>
      </w:pPr>
      <w:r>
        <w:rPr>
          <w:b/>
          <w:bCs/>
          <w:sz w:val="22"/>
          <w:szCs w:val="22"/>
        </w:rPr>
        <w:t>Kurian Katticaren,</w:t>
      </w:r>
      <w:r>
        <w:rPr>
          <w:sz w:val="22"/>
          <w:szCs w:val="22"/>
        </w:rPr>
        <w:t xml:space="preserve"> a private citizen with stakes in the ocean as the sustainer of life, and concerned about the impact of ocean mining on the livelihoods of fishing communities with whom he has interacted intensely for 47 years</w:t>
      </w:r>
    </w:p>
    <w:p w14:paraId="1EE10323">
      <w:pPr>
        <w:pStyle w:val="17"/>
        <w:keepNext w:val="0"/>
        <w:keepLines w:val="0"/>
        <w:widowControl/>
        <w:numPr>
          <w:ilvl w:val="0"/>
          <w:numId w:val="1"/>
        </w:numPr>
        <w:suppressLineNumbers w:val="0"/>
        <w:bidi w:val="0"/>
        <w:rPr>
          <w:sz w:val="22"/>
          <w:szCs w:val="22"/>
        </w:rPr>
      </w:pPr>
      <w:r>
        <w:rPr>
          <w:b/>
          <w:bCs/>
          <w:sz w:val="22"/>
          <w:szCs w:val="22"/>
        </w:rPr>
        <w:t>Tumilan Kruz,</w:t>
      </w:r>
      <w:r>
        <w:rPr>
          <w:sz w:val="22"/>
          <w:szCs w:val="22"/>
        </w:rPr>
        <w:t xml:space="preserve"> a small-scale fishery entrepreneur and active fish worker, residing in a coastal ward of Kollam Corporation, anxious that sand mining in the Kollam Blocks will destroy his livelihood and future, along with those of over two lakh fishers and their households</w:t>
      </w:r>
      <w:r>
        <w:rPr>
          <w:sz w:val="22"/>
          <w:szCs w:val="22"/>
        </w:rPr>
        <w:br w:type="textWrapping"/>
      </w:r>
      <w:r>
        <w:rPr>
          <w:rStyle w:val="18"/>
          <w:sz w:val="22"/>
          <w:szCs w:val="22"/>
        </w:rPr>
        <w:t>Petitioners</w:t>
      </w:r>
    </w:p>
    <w:p w14:paraId="05682A09">
      <w:pPr>
        <w:pStyle w:val="17"/>
        <w:keepNext w:val="0"/>
        <w:keepLines w:val="0"/>
        <w:widowControl/>
        <w:suppressLineNumbers w:val="0"/>
        <w:bidi w:val="0"/>
        <w:rPr>
          <w:sz w:val="22"/>
          <w:szCs w:val="22"/>
        </w:rPr>
      </w:pPr>
      <w:r>
        <w:rPr>
          <w:rStyle w:val="18"/>
          <w:sz w:val="22"/>
          <w:szCs w:val="22"/>
        </w:rPr>
        <w:t>VERSUS</w:t>
      </w:r>
    </w:p>
    <w:p w14:paraId="6015BEE1">
      <w:pPr>
        <w:pStyle w:val="17"/>
        <w:keepNext w:val="0"/>
        <w:keepLines w:val="0"/>
        <w:widowControl/>
        <w:numPr>
          <w:ilvl w:val="0"/>
          <w:numId w:val="2"/>
        </w:numPr>
        <w:suppressLineNumbers w:val="0"/>
        <w:bidi w:val="0"/>
        <w:rPr>
          <w:sz w:val="22"/>
          <w:szCs w:val="22"/>
        </w:rPr>
      </w:pPr>
      <w:r>
        <w:rPr>
          <w:sz w:val="22"/>
          <w:szCs w:val="22"/>
        </w:rPr>
        <w:t xml:space="preserve">Union of India, through the Secretary, </w:t>
      </w:r>
      <w:r>
        <w:rPr>
          <w:b/>
          <w:bCs/>
          <w:sz w:val="22"/>
          <w:szCs w:val="22"/>
        </w:rPr>
        <w:t>Ministry of Mines</w:t>
      </w:r>
      <w:r>
        <w:rPr>
          <w:sz w:val="22"/>
          <w:szCs w:val="22"/>
        </w:rPr>
        <w:t>, Shastri Bhavan, New Delhi 110001</w:t>
      </w:r>
    </w:p>
    <w:p w14:paraId="4B503C27">
      <w:pPr>
        <w:pStyle w:val="17"/>
        <w:keepNext w:val="0"/>
        <w:keepLines w:val="0"/>
        <w:widowControl/>
        <w:numPr>
          <w:ilvl w:val="0"/>
          <w:numId w:val="2"/>
        </w:numPr>
        <w:suppressLineNumbers w:val="0"/>
        <w:bidi w:val="0"/>
        <w:rPr>
          <w:sz w:val="22"/>
          <w:szCs w:val="22"/>
        </w:rPr>
      </w:pPr>
      <w:r>
        <w:rPr>
          <w:sz w:val="22"/>
          <w:szCs w:val="22"/>
        </w:rPr>
        <w:t xml:space="preserve">Union of India, through the Secretary, </w:t>
      </w:r>
      <w:r>
        <w:rPr>
          <w:b/>
          <w:bCs/>
          <w:sz w:val="22"/>
          <w:szCs w:val="22"/>
        </w:rPr>
        <w:t>Ministry of Environment, Forests &amp; Climate Change</w:t>
      </w:r>
      <w:r>
        <w:rPr>
          <w:sz w:val="22"/>
          <w:szCs w:val="22"/>
        </w:rPr>
        <w:t>, Indira Paryavaran Bhavan, Jor Bagh Road, New Delhi 110003</w:t>
      </w:r>
      <w:r>
        <w:rPr>
          <w:sz w:val="22"/>
          <w:szCs w:val="22"/>
        </w:rPr>
        <w:br w:type="textWrapping"/>
      </w:r>
      <w:r>
        <w:rPr>
          <w:rStyle w:val="18"/>
          <w:sz w:val="22"/>
          <w:szCs w:val="22"/>
        </w:rPr>
        <w:t>Respondents</w:t>
      </w:r>
    </w:p>
    <w:p w14:paraId="026210B8">
      <w:pPr>
        <w:pStyle w:val="17"/>
        <w:keepNext w:val="0"/>
        <w:keepLines w:val="0"/>
        <w:widowControl/>
        <w:suppressLineNumbers w:val="0"/>
        <w:bidi w:val="0"/>
        <w:rPr>
          <w:sz w:val="22"/>
          <w:szCs w:val="22"/>
        </w:rPr>
      </w:pPr>
      <w:r>
        <w:rPr>
          <w:rStyle w:val="18"/>
          <w:sz w:val="22"/>
          <w:szCs w:val="22"/>
        </w:rPr>
        <w:t>To</w:t>
      </w:r>
      <w:r>
        <w:rPr>
          <w:sz w:val="22"/>
          <w:szCs w:val="22"/>
        </w:rPr>
        <w:br w:type="textWrapping"/>
      </w:r>
      <w:r>
        <w:rPr>
          <w:rStyle w:val="18"/>
          <w:sz w:val="22"/>
          <w:szCs w:val="22"/>
        </w:rPr>
        <w:t>The Hon’ble Chief Justice of the High Court of Kerala and His Companion Justices</w:t>
      </w:r>
    </w:p>
    <w:p w14:paraId="6184886C">
      <w:pPr>
        <w:pStyle w:val="17"/>
        <w:keepNext w:val="0"/>
        <w:keepLines w:val="0"/>
        <w:widowControl/>
        <w:suppressLineNumbers w:val="0"/>
        <w:bidi w:val="0"/>
        <w:rPr>
          <w:sz w:val="22"/>
          <w:szCs w:val="22"/>
        </w:rPr>
      </w:pPr>
      <w:r>
        <w:rPr>
          <w:rStyle w:val="18"/>
          <w:sz w:val="22"/>
          <w:szCs w:val="22"/>
        </w:rPr>
        <w:t>Most Respectfully Showeth:</w:t>
      </w:r>
    </w:p>
    <w:p w14:paraId="3EFD2F43">
      <w:pPr>
        <w:pStyle w:val="17"/>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sz w:val="22"/>
          <w:szCs w:val="22"/>
        </w:rPr>
      </w:pPr>
      <w:r>
        <w:rPr>
          <w:rStyle w:val="18"/>
          <w:sz w:val="22"/>
          <w:szCs w:val="22"/>
        </w:rPr>
        <w:t>1. The Larger Context of this Petition:</w:t>
      </w:r>
      <w:r>
        <w:rPr>
          <w:sz w:val="22"/>
          <w:szCs w:val="22"/>
        </w:rPr>
        <w:br w:type="textWrapping"/>
      </w:r>
      <w:r>
        <w:rPr>
          <w:sz w:val="22"/>
          <w:szCs w:val="22"/>
        </w:rPr>
        <w:t>The context of this petition is the intersection of terrestrial and ocean bed mining. It challenges the notion that ocean bed mining is a mere continuum of mining on terra firma, requiring only minor operational</w:t>
      </w:r>
      <w:r>
        <w:rPr>
          <w:rFonts w:hint="default"/>
          <w:sz w:val="22"/>
          <w:szCs w:val="22"/>
          <w:lang w:val="en-US"/>
        </w:rPr>
        <w:t xml:space="preserve"> </w:t>
      </w:r>
      <w:r>
        <w:rPr>
          <w:sz w:val="22"/>
          <w:szCs w:val="22"/>
        </w:rPr>
        <w:t>level realignment of policies and functional recalibration of policy instruments.</w:t>
      </w:r>
    </w:p>
    <w:p w14:paraId="0314A81F">
      <w:pPr>
        <w:pStyle w:val="17"/>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sz w:val="22"/>
          <w:szCs w:val="22"/>
        </w:rPr>
      </w:pPr>
      <w:r>
        <w:rPr>
          <w:rStyle w:val="18"/>
          <w:sz w:val="22"/>
          <w:szCs w:val="22"/>
        </w:rPr>
        <w:t>2. Re-imagining the Legal Frameworks for a Fluid Planet:</w:t>
      </w:r>
    </w:p>
    <w:p w14:paraId="114276C7">
      <w:pPr>
        <w:pStyle w:val="17"/>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sz w:val="22"/>
          <w:szCs w:val="22"/>
        </w:rPr>
      </w:pPr>
      <w:r>
        <w:rPr>
          <w:rStyle w:val="18"/>
          <w:sz w:val="22"/>
          <w:szCs w:val="22"/>
        </w:rPr>
        <w:t xml:space="preserve">2.1 Ocean Bed is Not "Wetlands": </w:t>
      </w:r>
      <w:r>
        <w:rPr>
          <w:rStyle w:val="18"/>
          <w:b w:val="0"/>
          <w:bCs w:val="0"/>
          <w:sz w:val="22"/>
          <w:szCs w:val="22"/>
        </w:rPr>
        <w:t>Submerged Lands! Lands Under Water! Sandpits!</w:t>
      </w:r>
      <w:r>
        <w:rPr>
          <w:rStyle w:val="18"/>
          <w:rFonts w:hint="default"/>
          <w:b w:val="0"/>
          <w:bCs w:val="0"/>
          <w:sz w:val="22"/>
          <w:szCs w:val="22"/>
          <w:lang w:val="en-US"/>
        </w:rPr>
        <w:t xml:space="preserve">: </w:t>
      </w:r>
      <w:r>
        <w:rPr>
          <w:sz w:val="22"/>
          <w:szCs w:val="22"/>
        </w:rPr>
        <w:t>Terrestrial mining targets specific ore veins or lodes through contained excavation. In contrast, ocean bed mining disturbs extensive stretches of the ocean floor, causing irreversible damage to ecosystems that have evolved over millennia</w:t>
      </w:r>
      <w:r>
        <w:rPr>
          <w:rFonts w:hint="default"/>
          <w:sz w:val="22"/>
          <w:szCs w:val="22"/>
          <w:lang w:val="en-US"/>
        </w:rPr>
        <w:t xml:space="preserve">.Ocean beds </w:t>
      </w:r>
      <w:r>
        <w:rPr>
          <w:sz w:val="22"/>
          <w:szCs w:val="22"/>
        </w:rPr>
        <w:t xml:space="preserve">are now recognized as a new frontier of resource extraction due to the depletion of terrestrial </w:t>
      </w:r>
      <w:r>
        <w:rPr>
          <w:rFonts w:hint="default"/>
          <w:sz w:val="22"/>
          <w:szCs w:val="22"/>
          <w:lang w:val="en-US"/>
        </w:rPr>
        <w:t xml:space="preserve">resources. </w:t>
      </w:r>
      <w:r>
        <w:rPr>
          <w:sz w:val="22"/>
          <w:szCs w:val="22"/>
        </w:rPr>
        <w:t>Environmental laws, designed for terrestrial ecosystems, are ill-equipped to govern the dynamic, boundary-defying nature of the ocean, which spans 71 percent of the Earth and plays a critical role in climate regulation, food security, and biodiversity. This terra-centric bias is not merely an academic or legal oversight—it has profound consequences. As humanity increasingly turns to the sea for resources, the limitations of our land-bound legal systems become critically apparent, risking unintended and unforeseen externalities that current policy instruments are poorly equipped to mitigate.</w:t>
      </w:r>
    </w:p>
    <w:p w14:paraId="54196764">
      <w:pPr>
        <w:pStyle w:val="17"/>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sz w:val="22"/>
          <w:szCs w:val="22"/>
        </w:rPr>
      </w:pPr>
      <w:r>
        <w:rPr>
          <w:rStyle w:val="18"/>
          <w:sz w:val="22"/>
          <w:szCs w:val="22"/>
        </w:rPr>
        <w:t>2.2 The Paradoxes in Understanding the Ocean:</w:t>
      </w:r>
      <w:r>
        <w:rPr>
          <w:rStyle w:val="18"/>
          <w:rFonts w:hint="default"/>
          <w:sz w:val="22"/>
          <w:szCs w:val="22"/>
          <w:lang w:val="en-US"/>
        </w:rPr>
        <w:t xml:space="preserve"> </w:t>
      </w:r>
      <w:r>
        <w:rPr>
          <w:sz w:val="22"/>
          <w:szCs w:val="22"/>
        </w:rPr>
        <w:t xml:space="preserve">The ocean is </w:t>
      </w:r>
      <w:r>
        <w:rPr>
          <w:rFonts w:hint="default"/>
          <w:sz w:val="22"/>
          <w:szCs w:val="22"/>
          <w:lang w:val="en-US"/>
        </w:rPr>
        <w:t xml:space="preserve">a </w:t>
      </w:r>
      <w:r>
        <w:rPr>
          <w:sz w:val="22"/>
          <w:szCs w:val="22"/>
        </w:rPr>
        <w:t>fluidity—physical, ecological, and jurisdictional</w:t>
      </w:r>
      <w:r>
        <w:rPr>
          <w:rFonts w:hint="default"/>
          <w:sz w:val="22"/>
          <w:szCs w:val="22"/>
          <w:lang w:val="en-US"/>
        </w:rPr>
        <w:t>. It c</w:t>
      </w:r>
      <w:r>
        <w:rPr>
          <w:sz w:val="22"/>
          <w:szCs w:val="22"/>
        </w:rPr>
        <w:t>eates unique challenges: pollutants migrate across borders via currents, species traverse entire basins, and impacts cascade in ways invisible to static legal frameworks. Acknowledging the ocean’s fluid realities—where boundaries blur and impacts compound—requires replacing rigidity with adaptability in monitoring, enforcement, and stakeholder inclusion, and developing new legal paradigms that prioritize prevention, transboundary cooperation, and ecological connectivity.</w:t>
      </w:r>
    </w:p>
    <w:p w14:paraId="11D875C9">
      <w:pPr>
        <w:pStyle w:val="17"/>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sz w:val="22"/>
          <w:szCs w:val="22"/>
        </w:rPr>
      </w:pPr>
      <w:r>
        <w:rPr>
          <w:rStyle w:val="18"/>
          <w:sz w:val="22"/>
          <w:szCs w:val="22"/>
        </w:rPr>
        <w:t>2.3 Seven Principles to Inform and Validate Ocean Bed Mining Policies and Policy Instruments:</w:t>
      </w:r>
    </w:p>
    <w:p w14:paraId="76BEDCBB">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720"/>
        <w:textAlignment w:val="auto"/>
        <w:rPr>
          <w:sz w:val="22"/>
          <w:szCs w:val="22"/>
        </w:rPr>
      </w:pPr>
      <w:r>
        <w:rPr>
          <w:rStyle w:val="18"/>
          <w:rFonts w:hint="default"/>
          <w:sz w:val="22"/>
          <w:szCs w:val="22"/>
          <w:lang w:val="en-US"/>
        </w:rPr>
        <w:t xml:space="preserve">1. </w:t>
      </w:r>
      <w:r>
        <w:rPr>
          <w:rStyle w:val="18"/>
          <w:sz w:val="22"/>
          <w:szCs w:val="22"/>
        </w:rPr>
        <w:t>Principle of Ecological Connectivity:</w:t>
      </w:r>
      <w:r>
        <w:rPr>
          <w:sz w:val="22"/>
          <w:szCs w:val="22"/>
        </w:rPr>
        <w:t xml:space="preserve"> The ocean is a highly interconnected system—currents, migratory species, and pollutants ignore political boundaries. Laws must account for transboundary effects (e.g., pollution drift) and adopt ecosystem-based management, replacing fragmented, jurisdiction-by-jurisdiction regulation.</w:t>
      </w:r>
    </w:p>
    <w:p w14:paraId="1EC0C095">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720"/>
        <w:textAlignment w:val="auto"/>
        <w:rPr>
          <w:sz w:val="22"/>
          <w:szCs w:val="22"/>
        </w:rPr>
      </w:pPr>
      <w:r>
        <w:rPr>
          <w:rFonts w:hint="default"/>
          <w:sz w:val="22"/>
          <w:szCs w:val="22"/>
          <w:lang w:val="en-US"/>
        </w:rPr>
        <w:t xml:space="preserve">2. </w:t>
      </w:r>
      <w:r>
        <w:rPr>
          <w:rStyle w:val="18"/>
          <w:sz w:val="22"/>
          <w:szCs w:val="22"/>
        </w:rPr>
        <w:t>Heightened Precautionary Principle:</w:t>
      </w:r>
      <w:r>
        <w:rPr>
          <w:sz w:val="22"/>
          <w:szCs w:val="22"/>
        </w:rPr>
        <w:t xml:space="preserve"> On land, impacts are often localized and reversible; the ocean’s fluidity means small actions can trigger irreversible, cascading harm (e.g., oil spills, deep-sea mining sediment plumes). Environmental laws must prioritize caution, mandating moratoria on high-risk activities until independent, conclusive evidence proves safety.</w:t>
      </w:r>
    </w:p>
    <w:p w14:paraId="6C2D250B">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720"/>
        <w:textAlignment w:val="auto"/>
        <w:rPr>
          <w:sz w:val="22"/>
          <w:szCs w:val="22"/>
        </w:rPr>
      </w:pPr>
      <w:r>
        <w:rPr>
          <w:rFonts w:hint="default"/>
          <w:sz w:val="22"/>
          <w:szCs w:val="22"/>
          <w:lang w:val="en-US"/>
        </w:rPr>
        <w:t xml:space="preserve">3. </w:t>
      </w:r>
      <w:r>
        <w:rPr>
          <w:rStyle w:val="18"/>
          <w:sz w:val="22"/>
          <w:szCs w:val="22"/>
        </w:rPr>
        <w:t>Shifting Boundaries vs. Fixed Jurisdictions:</w:t>
      </w:r>
      <w:r>
        <w:rPr>
          <w:sz w:val="22"/>
          <w:szCs w:val="22"/>
        </w:rPr>
        <w:t xml:space="preserve"> Terrestrial laws assume stable borders, but marine systems are defined by dynamic boundaries (e.g., tidal zones, shifting coastlines, migratory species). Legal frameworks must embrace adaptive zoning (e.g., seasonal closures) and flexible governance (e.g., shared fisheries management across jurisdictions).</w:t>
      </w:r>
    </w:p>
    <w:p w14:paraId="17669C49">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720"/>
        <w:textAlignment w:val="auto"/>
        <w:rPr>
          <w:sz w:val="22"/>
          <w:szCs w:val="22"/>
        </w:rPr>
      </w:pPr>
      <w:r>
        <w:rPr>
          <w:rFonts w:hint="default"/>
          <w:sz w:val="22"/>
          <w:szCs w:val="22"/>
          <w:lang w:val="en-US"/>
        </w:rPr>
        <w:t xml:space="preserve">4. </w:t>
      </w:r>
      <w:r>
        <w:rPr>
          <w:rStyle w:val="18"/>
          <w:sz w:val="22"/>
          <w:szCs w:val="22"/>
        </w:rPr>
        <w:t>Non-Stationary Data &amp; Adaptive Monitoring:</w:t>
      </w:r>
      <w:r>
        <w:rPr>
          <w:sz w:val="22"/>
          <w:szCs w:val="22"/>
        </w:rPr>
        <w:t xml:space="preserve"> Land-based assessments rely on static baselines; ocean conditions (e.g., temperature, currents, species distributions) are in constant flux. Laws must require real-time monitoring and adaptive management, moving beyond snapshot EIAs that ignore fluid realities.</w:t>
      </w:r>
    </w:p>
    <w:p w14:paraId="2B42015F">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720"/>
        <w:textAlignment w:val="auto"/>
        <w:rPr>
          <w:sz w:val="22"/>
          <w:szCs w:val="22"/>
        </w:rPr>
      </w:pPr>
      <w:r>
        <w:rPr>
          <w:rFonts w:hint="default"/>
          <w:sz w:val="22"/>
          <w:szCs w:val="22"/>
          <w:lang w:val="en-US"/>
        </w:rPr>
        <w:t xml:space="preserve">5. </w:t>
      </w:r>
      <w:r>
        <w:rPr>
          <w:rStyle w:val="18"/>
          <w:sz w:val="22"/>
          <w:szCs w:val="22"/>
        </w:rPr>
        <w:t>Diffuse Responsibility &amp; Collective Accountability:</w:t>
      </w:r>
      <w:r>
        <w:rPr>
          <w:sz w:val="22"/>
          <w:szCs w:val="22"/>
        </w:rPr>
        <w:t xml:space="preserve"> On land, polluters are often identifiable; marine pollution is dispersed and cumulative. Legal regimes must shift from relying solely on ex-post "polluter pays" to a priori collective responsibility mechanisms.</w:t>
      </w:r>
    </w:p>
    <w:p w14:paraId="4E482537">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720"/>
        <w:textAlignment w:val="auto"/>
        <w:rPr>
          <w:sz w:val="22"/>
          <w:szCs w:val="22"/>
        </w:rPr>
      </w:pPr>
      <w:r>
        <w:rPr>
          <w:rFonts w:hint="default"/>
          <w:sz w:val="22"/>
          <w:szCs w:val="22"/>
          <w:lang w:val="en-US"/>
        </w:rPr>
        <w:t xml:space="preserve">6. </w:t>
      </w:r>
      <w:r>
        <w:rPr>
          <w:rStyle w:val="18"/>
          <w:sz w:val="22"/>
          <w:szCs w:val="22"/>
        </w:rPr>
        <w:t>Principle of Democratic Transparency:</w:t>
      </w:r>
      <w:r>
        <w:rPr>
          <w:sz w:val="22"/>
          <w:szCs w:val="22"/>
        </w:rPr>
        <w:t xml:space="preserve"> Unlike land, where harm is visible to activists, journalists, and communities, marine activities operate in opaque environments (e.g., deep waters, remote offshore sites) far from public view. Laws must mandate real-time public data streams and obligatory civil society review to counter accountability gaps.</w:t>
      </w:r>
    </w:p>
    <w:p w14:paraId="4EDAF9E9">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720"/>
        <w:textAlignment w:val="auto"/>
        <w:rPr>
          <w:sz w:val="22"/>
          <w:szCs w:val="22"/>
        </w:rPr>
      </w:pPr>
      <w:r>
        <w:rPr>
          <w:rFonts w:hint="default"/>
          <w:sz w:val="22"/>
          <w:szCs w:val="22"/>
          <w:lang w:val="en-US"/>
        </w:rPr>
        <w:t xml:space="preserve">7. </w:t>
      </w:r>
      <w:r>
        <w:rPr>
          <w:rStyle w:val="18"/>
          <w:sz w:val="22"/>
          <w:szCs w:val="22"/>
        </w:rPr>
        <w:t>Time-Scale Mismatch - Rapid Response Clauses:</w:t>
      </w:r>
      <w:r>
        <w:rPr>
          <w:sz w:val="22"/>
          <w:szCs w:val="22"/>
        </w:rPr>
        <w:t xml:space="preserve"> Legal processes are slow; ocean crises (e.g., oil spills, algal blooms) unfold rapidly. Laws must embed emergency triggers and rapid-response protocols (e.g., automatic suspensions when thresholds are breached).</w:t>
      </w:r>
      <w:r>
        <w:rPr>
          <w:sz w:val="22"/>
          <w:szCs w:val="22"/>
        </w:rPr>
        <w:br w:type="textWrapping"/>
      </w:r>
      <w:r>
        <w:rPr>
          <w:sz w:val="22"/>
          <w:szCs w:val="22"/>
        </w:rPr>
        <w:t xml:space="preserve">These seven principles reinforce that the ocean cannot be governed by terra-centric logic. The ocean is not a sandpit—but a dynamic fluid system. Its laws must be as fluid as its waters, demanding laws that embrace uncertainty, adaptability, and </w:t>
      </w:r>
      <w:r>
        <w:rPr>
          <w:sz w:val="22"/>
          <w:szCs w:val="22"/>
          <w:lang w:val="en-US"/>
        </w:rPr>
        <w:t>inter-connectivity</w:t>
      </w:r>
      <w:r>
        <w:rPr>
          <w:sz w:val="22"/>
          <w:szCs w:val="22"/>
        </w:rPr>
        <w:t>—qualities absent in current management and regulation policies and their instruments, which are rooted in the logic of mining on terra firma.</w:t>
      </w:r>
    </w:p>
    <w:p w14:paraId="735177F8">
      <w:pPr>
        <w:pStyle w:val="17"/>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sz w:val="22"/>
          <w:szCs w:val="22"/>
        </w:rPr>
      </w:pPr>
      <w:r>
        <w:rPr>
          <w:rStyle w:val="18"/>
          <w:sz w:val="22"/>
          <w:szCs w:val="22"/>
        </w:rPr>
        <w:t>2.4 The Concept of "Ocean Trusteeship" Offers a Path Forward:</w:t>
      </w:r>
      <w:r>
        <w:rPr>
          <w:rStyle w:val="18"/>
          <w:rFonts w:hint="default"/>
          <w:sz w:val="22"/>
          <w:szCs w:val="22"/>
          <w:lang w:val="en-US"/>
        </w:rPr>
        <w:t xml:space="preserve"> </w:t>
      </w:r>
      <w:r>
        <w:rPr>
          <w:sz w:val="22"/>
          <w:szCs w:val="22"/>
        </w:rPr>
        <w:t>Like a trustee managing a fragile estate for future beneficiaries, states and their institutions must:</w:t>
      </w:r>
      <w:r>
        <w:rPr>
          <w:rFonts w:hint="default"/>
          <w:sz w:val="22"/>
          <w:szCs w:val="22"/>
          <w:lang w:val="en-US"/>
        </w:rPr>
        <w:t xml:space="preserve"> (a) </w:t>
      </w:r>
      <w:r>
        <w:rPr>
          <w:sz w:val="22"/>
          <w:szCs w:val="22"/>
        </w:rPr>
        <w:t>Steward marine ecosystems holistically, prioritizing long-term resilience over short-term extraction</w:t>
      </w:r>
      <w:r>
        <w:rPr>
          <w:rFonts w:hint="default"/>
          <w:sz w:val="22"/>
          <w:szCs w:val="22"/>
          <w:lang w:val="en-US"/>
        </w:rPr>
        <w:t xml:space="preserve">, (b) </w:t>
      </w:r>
      <w:r>
        <w:rPr>
          <w:sz w:val="22"/>
          <w:szCs w:val="22"/>
        </w:rPr>
        <w:t>Operate with radical transparency, ensuring decisions are informed by science and open to public scrutiny</w:t>
      </w:r>
      <w:r>
        <w:rPr>
          <w:rFonts w:hint="default"/>
          <w:sz w:val="22"/>
          <w:szCs w:val="22"/>
          <w:lang w:val="en-US"/>
        </w:rPr>
        <w:t xml:space="preserve">, (c) </w:t>
      </w:r>
      <w:r>
        <w:rPr>
          <w:sz w:val="22"/>
          <w:szCs w:val="22"/>
        </w:rPr>
        <w:t xml:space="preserve">Act as interconnected custodians, recognizing that no single nation </w:t>
      </w:r>
      <w:r>
        <w:rPr>
          <w:rFonts w:hint="default"/>
          <w:sz w:val="22"/>
          <w:szCs w:val="22"/>
          <w:lang w:val="en-US"/>
        </w:rPr>
        <w:t xml:space="preserve">and much less single projects, </w:t>
      </w:r>
      <w:r>
        <w:rPr>
          <w:sz w:val="22"/>
          <w:szCs w:val="22"/>
        </w:rPr>
        <w:t>can manage fluid systems alone.</w:t>
      </w:r>
      <w:r>
        <w:rPr>
          <w:rFonts w:hint="default"/>
          <w:sz w:val="22"/>
          <w:szCs w:val="22"/>
          <w:lang w:val="en-US"/>
        </w:rPr>
        <w:t xml:space="preserve"> </w:t>
      </w:r>
      <w:r>
        <w:rPr>
          <w:sz w:val="22"/>
          <w:szCs w:val="22"/>
        </w:rPr>
        <w:t>This is not merely a legal adjustment. It represents a paradigmatic shift in the jurisprudence of ocean and ocean bed management: from treating the ocean as a resource frontier to honoring it as a shared, life-sustaining system. The time for terra-centric myopia is over.</w:t>
      </w:r>
    </w:p>
    <w:p w14:paraId="673AB5A9">
      <w:pPr>
        <w:pStyle w:val="17"/>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sz w:val="22"/>
          <w:szCs w:val="22"/>
        </w:rPr>
      </w:pPr>
      <w:r>
        <w:rPr>
          <w:rStyle w:val="18"/>
          <w:sz w:val="22"/>
          <w:szCs w:val="22"/>
        </w:rPr>
        <w:t xml:space="preserve">2.5 </w:t>
      </w:r>
      <w:r>
        <w:rPr>
          <w:rStyle w:val="18"/>
          <w:b w:val="0"/>
          <w:bCs w:val="0"/>
          <w:sz w:val="22"/>
          <w:szCs w:val="22"/>
        </w:rPr>
        <w:t>For Centuries,</w:t>
      </w:r>
      <w:r>
        <w:rPr>
          <w:rStyle w:val="18"/>
          <w:sz w:val="22"/>
          <w:szCs w:val="22"/>
        </w:rPr>
        <w:t xml:space="preserve"> Land</w:t>
      </w:r>
      <w:r>
        <w:rPr>
          <w:rStyle w:val="18"/>
          <w:b w:val="0"/>
          <w:bCs w:val="0"/>
          <w:sz w:val="22"/>
          <w:szCs w:val="22"/>
        </w:rPr>
        <w:t xml:space="preserve"> Has Been the </w:t>
      </w:r>
      <w:r>
        <w:rPr>
          <w:rStyle w:val="18"/>
          <w:sz w:val="22"/>
          <w:szCs w:val="22"/>
        </w:rPr>
        <w:t>Central Reference Point</w:t>
      </w:r>
      <w:r>
        <w:rPr>
          <w:rStyle w:val="18"/>
          <w:rFonts w:hint="default"/>
          <w:sz w:val="22"/>
          <w:szCs w:val="22"/>
          <w:lang w:val="en-US"/>
        </w:rPr>
        <w:t xml:space="preserve"> </w:t>
      </w:r>
      <w:r>
        <w:rPr>
          <w:sz w:val="22"/>
          <w:szCs w:val="22"/>
        </w:rPr>
        <w:t xml:space="preserve"> in economic thinking and governance models related to natural resources. In his seminal work </w:t>
      </w:r>
      <w:r>
        <w:rPr>
          <w:rStyle w:val="14"/>
          <w:sz w:val="22"/>
          <w:szCs w:val="22"/>
        </w:rPr>
        <w:t>An Inquiry into the Nature and Causes of the Wealth of Nations</w:t>
      </w:r>
      <w:r>
        <w:rPr>
          <w:sz w:val="22"/>
          <w:szCs w:val="22"/>
        </w:rPr>
        <w:t xml:space="preserve"> (1776), Adam Smith stated: "Land in its original rude state can afford the materials of clothing and lodging to a much greater number of people than it can feed… In its improved state, it can afford both food and materials to a much greater number still." (Book I, Chapter VI). Smith did not consider the ocean as a distinct source of wealth. The ocean was perceived as a void—used primarily for navigation and limited extractive activities like fishing, not as a structured domain of wealth-generation.</w:t>
      </w:r>
    </w:p>
    <w:p w14:paraId="195759CF">
      <w:pPr>
        <w:pStyle w:val="17"/>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sz w:val="22"/>
          <w:szCs w:val="22"/>
        </w:rPr>
      </w:pPr>
      <w:r>
        <w:rPr>
          <w:rStyle w:val="18"/>
          <w:sz w:val="22"/>
          <w:szCs w:val="22"/>
        </w:rPr>
        <w:t xml:space="preserve">2.6 </w:t>
      </w:r>
      <w:r>
        <w:rPr>
          <w:sz w:val="22"/>
          <w:szCs w:val="22"/>
        </w:rPr>
        <w:t xml:space="preserve">The emergence of marine geoscience, ocean engineering, and the depletion of terrestrial minerals have progressively shifted this marginal role of the ocean </w:t>
      </w:r>
      <w:r>
        <w:rPr>
          <w:rFonts w:hint="default"/>
          <w:sz w:val="22"/>
          <w:szCs w:val="22"/>
          <w:lang w:val="en-US"/>
        </w:rPr>
        <w:t xml:space="preserve">in the creation of </w:t>
      </w:r>
      <w:r>
        <w:rPr>
          <w:sz w:val="22"/>
          <w:szCs w:val="22"/>
        </w:rPr>
        <w:t>wealth</w:t>
      </w:r>
      <w:r>
        <w:rPr>
          <w:rFonts w:hint="default"/>
          <w:sz w:val="22"/>
          <w:szCs w:val="22"/>
          <w:lang w:val="en-US"/>
        </w:rPr>
        <w:t xml:space="preserve">. </w:t>
      </w:r>
      <w:r>
        <w:rPr>
          <w:sz w:val="22"/>
          <w:szCs w:val="22"/>
        </w:rPr>
        <w:t xml:space="preserve"> Ocean bed mining is now </w:t>
      </w:r>
      <w:r>
        <w:rPr>
          <w:rFonts w:hint="default"/>
          <w:sz w:val="22"/>
          <w:szCs w:val="22"/>
          <w:lang w:val="en-US"/>
        </w:rPr>
        <w:t xml:space="preserve">the </w:t>
      </w:r>
      <w:r>
        <w:rPr>
          <w:sz w:val="22"/>
          <w:szCs w:val="22"/>
        </w:rPr>
        <w:t>new frontier of resource extraction. Yet, the legal frameworks governing terrestrial mining continue to inform, drive, interrogate, and validate ocean bed mining. This inadequate understanding and inappropriate policies vitiate into a mismatch between desired and actual outcomes</w:t>
      </w:r>
      <w:r>
        <w:rPr>
          <w:rFonts w:hint="default"/>
          <w:sz w:val="22"/>
          <w:szCs w:val="22"/>
          <w:lang w:val="en-US"/>
        </w:rPr>
        <w:t xml:space="preserve"> and </w:t>
      </w:r>
      <w:r>
        <w:rPr>
          <w:sz w:val="22"/>
          <w:szCs w:val="22"/>
        </w:rPr>
        <w:t>to unintended and unforeseen externalities</w:t>
      </w:r>
      <w:r>
        <w:rPr>
          <w:rFonts w:hint="default"/>
          <w:sz w:val="22"/>
          <w:szCs w:val="22"/>
          <w:lang w:val="en-US"/>
        </w:rPr>
        <w:t>,</w:t>
      </w:r>
      <w:r>
        <w:rPr>
          <w:sz w:val="22"/>
          <w:szCs w:val="22"/>
        </w:rPr>
        <w:t xml:space="preserve"> w</w:t>
      </w:r>
      <w:r>
        <w:rPr>
          <w:rFonts w:hint="default"/>
          <w:sz w:val="22"/>
          <w:szCs w:val="22"/>
          <w:lang w:val="en-US"/>
        </w:rPr>
        <w:t xml:space="preserve">ith </w:t>
      </w:r>
      <w:r>
        <w:rPr>
          <w:sz w:val="22"/>
          <w:szCs w:val="22"/>
        </w:rPr>
        <w:t>policy instruments poorly equipped for mitigation. Unlike land, which is static and localized, the ocean is dynamic, multi-functional, and globally interconnected. It regulates climate, sequesters CO2 emissions, preserves biodiversity, sustains food systems. Ocean bed mining risks irreversible damage to all of these—damage that, unlike on land, cannot be easily mitigated, monitored, or reversed. Moreover, coastal communities, particularly small-scale fishers (60 million jobs globally, FAO 2024), rely on the ocean for subsistence and livelihood. Their informal but deep custodianship is threatened by new extractive operations, which risk marginalizing their rights in favor of commercial priorities and private wealth from the commons.</w:t>
      </w:r>
    </w:p>
    <w:p w14:paraId="47366B19">
      <w:pPr>
        <w:pStyle w:val="17"/>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sz w:val="22"/>
          <w:szCs w:val="22"/>
        </w:rPr>
      </w:pPr>
      <w:r>
        <w:rPr>
          <w:rFonts w:hint="default"/>
          <w:sz w:val="22"/>
          <w:szCs w:val="22"/>
          <w:lang w:val="en-US"/>
        </w:rPr>
        <w:t xml:space="preserve">2.7 </w:t>
      </w:r>
      <w:r>
        <w:rPr>
          <w:rStyle w:val="18"/>
          <w:sz w:val="22"/>
          <w:szCs w:val="22"/>
        </w:rPr>
        <w:t>Inadequate Legal Frameworks Pose Risks:</w:t>
      </w:r>
      <w:r>
        <w:rPr>
          <w:rStyle w:val="18"/>
          <w:rFonts w:hint="default"/>
          <w:sz w:val="22"/>
          <w:szCs w:val="22"/>
          <w:lang w:val="en-US"/>
        </w:rPr>
        <w:t xml:space="preserve"> </w:t>
      </w:r>
      <w:r>
        <w:rPr>
          <w:sz w:val="22"/>
          <w:szCs w:val="22"/>
        </w:rPr>
        <w:t xml:space="preserve">Ocean bed mining cannot and should not be managed and regulated by inappropriate laws, acts, and notifications—especially when they risk irreversible harm. Courts have found </w:t>
      </w:r>
      <w:r>
        <w:rPr>
          <w:rFonts w:hint="default"/>
          <w:sz w:val="22"/>
          <w:szCs w:val="22"/>
          <w:lang w:val="en-US"/>
        </w:rPr>
        <w:t xml:space="preserve">mining policy </w:t>
      </w:r>
      <w:r>
        <w:rPr>
          <w:sz w:val="22"/>
          <w:szCs w:val="22"/>
        </w:rPr>
        <w:t xml:space="preserve">frameworks wanting even for land: </w:t>
      </w:r>
      <w:r>
        <w:rPr>
          <w:rStyle w:val="14"/>
          <w:sz w:val="22"/>
          <w:szCs w:val="22"/>
        </w:rPr>
        <w:t>Goa Foundation v. Union of India</w:t>
      </w:r>
      <w:r>
        <w:rPr>
          <w:sz w:val="22"/>
          <w:szCs w:val="22"/>
        </w:rPr>
        <w:t xml:space="preserve"> (2014), </w:t>
      </w:r>
      <w:r>
        <w:rPr>
          <w:rStyle w:val="14"/>
          <w:sz w:val="22"/>
          <w:szCs w:val="22"/>
        </w:rPr>
        <w:t>Samata v. State of Andhra Pradesh</w:t>
      </w:r>
      <w:r>
        <w:rPr>
          <w:sz w:val="22"/>
          <w:szCs w:val="22"/>
        </w:rPr>
        <w:t xml:space="preserve"> (1997). The International Seabed Authority (ISA), under UNCLOS, and India’s Blue Economy Policy urge caution, recommending that States establish national regulatory frameworks for seabed mining, develop binding ecological safeguards and monitoring protocols, ensure other ocean stakeholders are not excluded or displaced, and uphold custodial/fiduciary obligations in the EEZ to prevent privatization of marine wealth at the cost of equity or sustainability. India’s Blue Economy Policy further states: "India’s blue economy policy framework must ensure sustainability, social equity, precautionary science, and inter-sectoral coordination before advancing extractive operations," adding that "the marine ecosystem provides critical services which are not substitutable and may be permanently altered through indiscriminate use." Studies by the Central Marine Fisheries Research Institute, National Centre for Sustainable Coastal Management, and NITI Aayog underscore the need for precautionary frameworks, equitable benefit-sharing, and stakeholder consultation.</w:t>
      </w:r>
    </w:p>
    <w:p w14:paraId="4F69398B">
      <w:pPr>
        <w:pStyle w:val="17"/>
        <w:keepNext w:val="0"/>
        <w:keepLines w:val="0"/>
        <w:pageBreakBefore w:val="0"/>
        <w:widowControl/>
        <w:suppressLineNumbers w:val="0"/>
        <w:kinsoku/>
        <w:wordWrap/>
        <w:overflowPunct/>
        <w:topLinePunct w:val="0"/>
        <w:autoSpaceDE/>
        <w:autoSpaceDN/>
        <w:bidi w:val="0"/>
        <w:adjustRightInd/>
        <w:snapToGrid/>
        <w:spacing w:line="360" w:lineRule="auto"/>
        <w:ind w:left="0" w:leftChars="0"/>
        <w:textAlignment w:val="auto"/>
        <w:rPr>
          <w:sz w:val="22"/>
          <w:szCs w:val="22"/>
        </w:rPr>
      </w:pPr>
      <w:r>
        <w:rPr>
          <w:rStyle w:val="18"/>
          <w:sz w:val="22"/>
          <w:szCs w:val="22"/>
        </w:rPr>
        <w:t>2.</w:t>
      </w:r>
      <w:r>
        <w:rPr>
          <w:rStyle w:val="18"/>
          <w:rFonts w:hint="default"/>
          <w:sz w:val="22"/>
          <w:szCs w:val="22"/>
          <w:lang w:val="en-US"/>
        </w:rPr>
        <w:t>8</w:t>
      </w:r>
      <w:r>
        <w:rPr>
          <w:rStyle w:val="18"/>
          <w:sz w:val="22"/>
          <w:szCs w:val="22"/>
        </w:rPr>
        <w:t xml:space="preserve"> </w:t>
      </w:r>
      <w:r>
        <w:rPr>
          <w:sz w:val="22"/>
          <w:szCs w:val="22"/>
        </w:rPr>
        <w:t xml:space="preserve">The Petition does not present these concerns </w:t>
      </w:r>
      <w:r>
        <w:rPr>
          <w:rFonts w:hint="default"/>
          <w:sz w:val="22"/>
          <w:szCs w:val="22"/>
          <w:lang w:val="en-US"/>
        </w:rPr>
        <w:t xml:space="preserve">for an ocean logic and ocean management policy </w:t>
      </w:r>
      <w:r>
        <w:rPr>
          <w:sz w:val="22"/>
          <w:szCs w:val="22"/>
        </w:rPr>
        <w:t>as novel or as moral exhortations! International and domestic frameworks acknowledge these concerns. The International Seabed Authority (ISA), under UNCLOS, urges caution, recommending that States:</w:t>
      </w:r>
      <w:r>
        <w:rPr>
          <w:sz w:val="22"/>
          <w:szCs w:val="22"/>
        </w:rPr>
        <w:br w:type="textWrapping"/>
      </w:r>
      <w:r>
        <w:rPr>
          <w:sz w:val="22"/>
          <w:szCs w:val="22"/>
        </w:rPr>
        <w:t>a) Establish national regulatory frameworks for seabed mining,</w:t>
      </w:r>
      <w:r>
        <w:rPr>
          <w:sz w:val="22"/>
          <w:szCs w:val="22"/>
        </w:rPr>
        <w:br w:type="textWrapping"/>
      </w:r>
      <w:r>
        <w:rPr>
          <w:sz w:val="22"/>
          <w:szCs w:val="22"/>
        </w:rPr>
        <w:t>b) Develop binding ecological safeguards and monitoring protocols,</w:t>
      </w:r>
      <w:r>
        <w:rPr>
          <w:sz w:val="22"/>
          <w:szCs w:val="22"/>
        </w:rPr>
        <w:br w:type="textWrapping"/>
      </w:r>
      <w:r>
        <w:rPr>
          <w:sz w:val="22"/>
          <w:szCs w:val="22"/>
        </w:rPr>
        <w:t>c) Ensure other ocean stakeholders are not excluded or displaced, and</w:t>
      </w:r>
      <w:r>
        <w:rPr>
          <w:sz w:val="22"/>
          <w:szCs w:val="22"/>
        </w:rPr>
        <w:br w:type="textWrapping"/>
      </w:r>
      <w:r>
        <w:rPr>
          <w:sz w:val="22"/>
          <w:szCs w:val="22"/>
        </w:rPr>
        <w:t>d) Uphold custodial/fiduciary obligations in the EEZ, ensuring sovereignty does not privatize marine wealth at the cost of equity or sustainability</w:t>
      </w:r>
    </w:p>
    <w:p w14:paraId="3C150DCF">
      <w:pPr>
        <w:pStyle w:val="17"/>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sz w:val="22"/>
          <w:szCs w:val="22"/>
          <w:lang w:val="en-US"/>
        </w:rPr>
      </w:pPr>
      <w:r>
        <w:rPr>
          <w:rFonts w:hint="default"/>
          <w:sz w:val="22"/>
          <w:szCs w:val="22"/>
          <w:lang w:val="en-US"/>
        </w:rPr>
        <w:t xml:space="preserve">2.9 </w:t>
      </w:r>
      <w:r>
        <w:rPr>
          <w:rStyle w:val="18"/>
          <w:sz w:val="22"/>
          <w:szCs w:val="22"/>
        </w:rPr>
        <w:t xml:space="preserve">Respondents’ Responsibilities and </w:t>
      </w:r>
      <w:r>
        <w:rPr>
          <w:rStyle w:val="18"/>
          <w:rFonts w:hint="default"/>
          <w:sz w:val="22"/>
          <w:szCs w:val="22"/>
          <w:lang w:val="en-US"/>
        </w:rPr>
        <w:t xml:space="preserve">Duty Bearing Failures:  </w:t>
      </w:r>
      <w:r>
        <w:rPr>
          <w:sz w:val="22"/>
          <w:szCs w:val="22"/>
        </w:rPr>
        <w:t xml:space="preserve">Respondents 1 and 2 are responsible for ensuring ocean mining is informed, driven, and validated by the above principles. Hence, it is important that they do not function as vertical </w:t>
      </w:r>
      <w:r>
        <w:rPr>
          <w:rFonts w:hint="default"/>
          <w:sz w:val="22"/>
          <w:szCs w:val="22"/>
          <w:lang w:val="en-US"/>
        </w:rPr>
        <w:t xml:space="preserve">insulated </w:t>
      </w:r>
      <w:r>
        <w:rPr>
          <w:sz w:val="22"/>
          <w:szCs w:val="22"/>
        </w:rPr>
        <w:t xml:space="preserve">silos </w:t>
      </w:r>
      <w:r>
        <w:rPr>
          <w:rFonts w:hint="default"/>
          <w:sz w:val="22"/>
          <w:szCs w:val="22"/>
          <w:lang w:val="en-US"/>
        </w:rPr>
        <w:t xml:space="preserve">and </w:t>
      </w:r>
      <w:r>
        <w:rPr>
          <w:sz w:val="22"/>
          <w:szCs w:val="22"/>
        </w:rPr>
        <w:t xml:space="preserve">focused on the forward linkages of the </w:t>
      </w:r>
      <w:r>
        <w:rPr>
          <w:rFonts w:hint="default"/>
          <w:sz w:val="22"/>
          <w:szCs w:val="22"/>
          <w:lang w:val="en-US"/>
        </w:rPr>
        <w:t xml:space="preserve">mined </w:t>
      </w:r>
      <w:r>
        <w:rPr>
          <w:sz w:val="22"/>
          <w:szCs w:val="22"/>
        </w:rPr>
        <w:t xml:space="preserve">resource with the market, </w:t>
      </w:r>
      <w:r>
        <w:rPr>
          <w:rFonts w:hint="default"/>
          <w:sz w:val="22"/>
          <w:szCs w:val="22"/>
          <w:lang w:val="en-US"/>
        </w:rPr>
        <w:t xml:space="preserve">and </w:t>
      </w:r>
      <w:r>
        <w:rPr>
          <w:sz w:val="22"/>
          <w:szCs w:val="22"/>
        </w:rPr>
        <w:t>only marginally preoccupied with the backward linkage of the resource with its eco-bio systems and the people living on them,</w:t>
      </w:r>
      <w:r>
        <w:rPr>
          <w:rFonts w:hint="default"/>
          <w:sz w:val="22"/>
          <w:szCs w:val="22"/>
          <w:lang w:val="en-US"/>
        </w:rPr>
        <w:t xml:space="preserve">. And very </w:t>
      </w:r>
      <w:r>
        <w:rPr>
          <w:sz w:val="22"/>
          <w:szCs w:val="22"/>
        </w:rPr>
        <w:t>little about the equitable distribution of the wealth generated. The</w:t>
      </w:r>
      <w:r>
        <w:rPr>
          <w:rFonts w:hint="default"/>
          <w:sz w:val="22"/>
          <w:szCs w:val="22"/>
          <w:lang w:val="en-US"/>
        </w:rPr>
        <w:t>se</w:t>
      </w:r>
      <w:r>
        <w:rPr>
          <w:sz w:val="22"/>
          <w:szCs w:val="22"/>
        </w:rPr>
        <w:t xml:space="preserve"> backward linkages and concerns </w:t>
      </w:r>
      <w:r>
        <w:rPr>
          <w:rFonts w:hint="default"/>
          <w:sz w:val="22"/>
          <w:szCs w:val="22"/>
          <w:lang w:val="en-US"/>
        </w:rPr>
        <w:t xml:space="preserve">with equity </w:t>
      </w:r>
      <w:r>
        <w:rPr>
          <w:sz w:val="22"/>
          <w:szCs w:val="22"/>
        </w:rPr>
        <w:t xml:space="preserve">must be overseen by accountable regulatory values, principles, </w:t>
      </w:r>
      <w:r>
        <w:rPr>
          <w:rFonts w:hint="default"/>
          <w:sz w:val="22"/>
          <w:szCs w:val="22"/>
          <w:lang w:val="en-US"/>
        </w:rPr>
        <w:t xml:space="preserve">institutions </w:t>
      </w:r>
      <w:r>
        <w:rPr>
          <w:sz w:val="22"/>
          <w:szCs w:val="22"/>
        </w:rPr>
        <w:t xml:space="preserve">and frameworks. </w:t>
      </w:r>
      <w:r>
        <w:rPr>
          <w:rFonts w:hint="default"/>
          <w:sz w:val="22"/>
          <w:szCs w:val="22"/>
          <w:lang w:val="en-US"/>
        </w:rPr>
        <w:t xml:space="preserve">These obligations for and commitment to </w:t>
      </w:r>
      <w:r>
        <w:rPr>
          <w:sz w:val="22"/>
          <w:szCs w:val="22"/>
        </w:rPr>
        <w:t>to sustainable and human development goals, corporate social responsibility, stakeholders’ inclusion, global ethical standards, and enabling agency—right to voice and duty to listen with respect</w:t>
      </w:r>
      <w:r>
        <w:rPr>
          <w:rFonts w:hint="default"/>
          <w:sz w:val="22"/>
          <w:szCs w:val="22"/>
          <w:lang w:val="en-US"/>
        </w:rPr>
        <w:t xml:space="preserve"> cannot be left solely to the Mines Department. These must be overseen by the Ministry  of Environment, Forest and Climate Change, as it has the mandate  to address the totality of natural resources, their  forward linkages with the market,  backward linkages with eco-systems as also issues related to sustainability and equity. </w:t>
      </w:r>
    </w:p>
    <w:p w14:paraId="00E64771">
      <w:pPr>
        <w:pStyle w:val="17"/>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sz w:val="22"/>
          <w:szCs w:val="22"/>
        </w:rPr>
      </w:pPr>
      <w:r>
        <w:rPr>
          <w:rFonts w:hint="default"/>
          <w:sz w:val="22"/>
          <w:szCs w:val="22"/>
          <w:lang w:val="en-US"/>
        </w:rPr>
        <w:t xml:space="preserve">2.10 </w:t>
      </w:r>
      <w:r>
        <w:rPr>
          <w:rFonts w:hint="default"/>
          <w:b/>
          <w:bCs/>
          <w:sz w:val="22"/>
          <w:szCs w:val="22"/>
          <w:lang w:val="en-US"/>
        </w:rPr>
        <w:t>Double Speak</w:t>
      </w:r>
      <w:r>
        <w:rPr>
          <w:rFonts w:hint="default"/>
          <w:sz w:val="22"/>
          <w:szCs w:val="22"/>
          <w:lang w:val="en-US"/>
        </w:rPr>
        <w:t xml:space="preserve">: </w:t>
      </w:r>
      <w:r>
        <w:rPr>
          <w:sz w:val="22"/>
          <w:szCs w:val="22"/>
        </w:rPr>
        <w:t xml:space="preserve">Despite state narratives, ocean management is often compromised through double-speak, where laws state the noblest of intentions, but their notifications compromise principled interventions, subserve vested interests, and are substituted with executive orders, office memoranda, and press releases. This double-speak, abetted by opacity, secrecy, backdoor deals, and kleptocracy, leads to soaring GDPs and mushrooming billionaires, alongside increases in the Gini Coefficient, jobless growth, and distress migration, </w:t>
      </w:r>
      <w:r>
        <w:rPr>
          <w:rFonts w:hint="default"/>
          <w:sz w:val="22"/>
          <w:szCs w:val="22"/>
          <w:lang w:val="en-US"/>
        </w:rPr>
        <w:t xml:space="preserve">while depressing the measures of </w:t>
      </w:r>
      <w:r>
        <w:rPr>
          <w:sz w:val="22"/>
          <w:szCs w:val="22"/>
        </w:rPr>
        <w:t xml:space="preserve"> human development, gender inequality, and child poverty, and </w:t>
      </w:r>
      <w:r>
        <w:rPr>
          <w:rFonts w:hint="default"/>
          <w:sz w:val="22"/>
          <w:szCs w:val="22"/>
          <w:lang w:val="en-US"/>
        </w:rPr>
        <w:t>the s</w:t>
      </w:r>
      <w:r>
        <w:rPr>
          <w:sz w:val="22"/>
          <w:szCs w:val="22"/>
        </w:rPr>
        <w:t xml:space="preserve">hrinking of informal sectors—the economies of self-employed </w:t>
      </w:r>
      <w:r>
        <w:rPr>
          <w:rFonts w:hint="default"/>
          <w:sz w:val="22"/>
          <w:szCs w:val="22"/>
          <w:lang w:val="en-US"/>
        </w:rPr>
        <w:t xml:space="preserve">and employment creating </w:t>
      </w:r>
      <w:r>
        <w:rPr>
          <w:sz w:val="22"/>
          <w:szCs w:val="22"/>
        </w:rPr>
        <w:t xml:space="preserve">small-scale entrepreneurs. </w:t>
      </w:r>
    </w:p>
    <w:p w14:paraId="507BBC92">
      <w:pPr>
        <w:pStyle w:val="17"/>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sz w:val="22"/>
          <w:szCs w:val="22"/>
          <w:lang w:val="en-US"/>
        </w:rPr>
      </w:pPr>
      <w:r>
        <w:rPr>
          <w:rFonts w:hint="default"/>
          <w:sz w:val="22"/>
          <w:szCs w:val="22"/>
          <w:lang w:val="en-US"/>
        </w:rPr>
        <w:t xml:space="preserve">2.11 </w:t>
      </w:r>
      <w:r>
        <w:rPr>
          <w:rFonts w:hint="default"/>
          <w:b/>
          <w:bCs/>
          <w:sz w:val="22"/>
          <w:szCs w:val="22"/>
          <w:lang w:val="en-US"/>
        </w:rPr>
        <w:t>Troubling Global Concerns:</w:t>
      </w:r>
      <w:r>
        <w:rPr>
          <w:rFonts w:hint="default"/>
          <w:sz w:val="22"/>
          <w:szCs w:val="22"/>
          <w:lang w:val="en-US"/>
        </w:rPr>
        <w:t xml:space="preserve"> </w:t>
      </w:r>
      <w:r>
        <w:rPr>
          <w:sz w:val="22"/>
          <w:szCs w:val="22"/>
        </w:rPr>
        <w:t>The petitioners contextualize these troubling global concerns with responsible management of resources, ecosystems, and people who live by these, and the equitable distribution of this wealth. In this ocean mining context, when intent is not matched with precautionary, prudent, sensitive, and inclusive protocols and processes, the question arises: Wealth yes, but for whom, at what cost to whom, and to what? As land-based natural resources deplete, the ocean emerges as the new fountainhead of minable resources, substituting land as the first factor of wealth creation.</w:t>
      </w:r>
      <w:r>
        <w:rPr>
          <w:rFonts w:hint="default"/>
          <w:sz w:val="22"/>
          <w:szCs w:val="22"/>
          <w:lang w:val="en-US"/>
        </w:rPr>
        <w:t xml:space="preserve"> And these questions will now be directed at ocean mining.</w:t>
      </w:r>
    </w:p>
    <w:p w14:paraId="3DBA8F88">
      <w:pPr>
        <w:pStyle w:val="17"/>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b/>
          <w:bCs/>
          <w:i/>
          <w:iCs/>
          <w:sz w:val="22"/>
          <w:szCs w:val="22"/>
          <w:u w:val="single"/>
        </w:rPr>
      </w:pPr>
      <w:r>
        <w:rPr>
          <w:rStyle w:val="18"/>
          <w:sz w:val="22"/>
          <w:szCs w:val="22"/>
        </w:rPr>
        <w:t>2.</w:t>
      </w:r>
      <w:r>
        <w:rPr>
          <w:rStyle w:val="18"/>
          <w:rFonts w:hint="default"/>
          <w:sz w:val="22"/>
          <w:szCs w:val="22"/>
          <w:lang w:val="en-US"/>
        </w:rPr>
        <w:t>12</w:t>
      </w:r>
      <w:r>
        <w:rPr>
          <w:rStyle w:val="18"/>
          <w:sz w:val="22"/>
          <w:szCs w:val="22"/>
        </w:rPr>
        <w:t xml:space="preserve"> Outcome of State Interventions:</w:t>
      </w:r>
      <w:r>
        <w:rPr>
          <w:rStyle w:val="18"/>
          <w:rFonts w:hint="default"/>
          <w:sz w:val="22"/>
          <w:szCs w:val="22"/>
          <w:lang w:val="en-US"/>
        </w:rPr>
        <w:t xml:space="preserve"> </w:t>
      </w:r>
      <w:r>
        <w:rPr>
          <w:sz w:val="22"/>
          <w:szCs w:val="22"/>
        </w:rPr>
        <w:t xml:space="preserve">The petitioners submit that the outcome of state interventions in the offshore mining tender for 700 million tonnes of construction-grade sand off the Kerala Coast exemplifies this imbalance: </w:t>
      </w:r>
      <w:r>
        <w:rPr>
          <w:b/>
          <w:bCs/>
          <w:i/>
          <w:iCs/>
          <w:sz w:val="22"/>
          <w:szCs w:val="22"/>
          <w:u w:val="single"/>
        </w:rPr>
        <w:t>extraction is enabled, while protection remains aspirational!</w:t>
      </w:r>
    </w:p>
    <w:p w14:paraId="6C7F6F82">
      <w:pPr>
        <w:pStyle w:val="17"/>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sz w:val="22"/>
          <w:szCs w:val="22"/>
        </w:rPr>
      </w:pPr>
      <w:r>
        <w:rPr>
          <w:rStyle w:val="18"/>
          <w:sz w:val="22"/>
          <w:szCs w:val="22"/>
        </w:rPr>
        <w:t>2.</w:t>
      </w:r>
      <w:r>
        <w:rPr>
          <w:rStyle w:val="18"/>
          <w:rFonts w:hint="default"/>
          <w:sz w:val="22"/>
          <w:szCs w:val="22"/>
          <w:lang w:val="en-US"/>
        </w:rPr>
        <w:t>13</w:t>
      </w:r>
      <w:r>
        <w:rPr>
          <w:rStyle w:val="18"/>
          <w:sz w:val="22"/>
          <w:szCs w:val="22"/>
        </w:rPr>
        <w:t xml:space="preserve"> Prayer for Judicial Recognition:</w:t>
      </w:r>
      <w:r>
        <w:rPr>
          <w:rStyle w:val="18"/>
          <w:rFonts w:hint="default"/>
          <w:sz w:val="22"/>
          <w:szCs w:val="22"/>
          <w:lang w:val="en-US"/>
        </w:rPr>
        <w:t xml:space="preserve"> </w:t>
      </w:r>
      <w:r>
        <w:rPr>
          <w:sz w:val="22"/>
          <w:szCs w:val="22"/>
        </w:rPr>
        <w:t xml:space="preserve">This Petition urges this Hon’ble High Court to recognize that ocean governance requires both ocean-specific and enforceable protocols and autonomous regulators, from policy intentions to binding principles, from fragmented laws to integrated protocols, as mandated by Articles 48A and 39(b) of the Constitution. Courts have time and again upheld precaution, inter-generational equity, and due process: </w:t>
      </w:r>
      <w:r>
        <w:rPr>
          <w:rStyle w:val="14"/>
          <w:sz w:val="22"/>
          <w:szCs w:val="22"/>
        </w:rPr>
        <w:t>T.N. Godavarman Thirumulpad v. Union of India</w:t>
      </w:r>
      <w:r>
        <w:rPr>
          <w:sz w:val="22"/>
          <w:szCs w:val="22"/>
        </w:rPr>
        <w:t xml:space="preserve"> (2011). It is respectfully prayed that this role </w:t>
      </w:r>
      <w:r>
        <w:rPr>
          <w:rFonts w:hint="default"/>
          <w:sz w:val="22"/>
          <w:szCs w:val="22"/>
          <w:lang w:val="en-US"/>
        </w:rPr>
        <w:t xml:space="preserve">must now </w:t>
      </w:r>
      <w:r>
        <w:rPr>
          <w:sz w:val="22"/>
          <w:szCs w:val="22"/>
        </w:rPr>
        <w:t xml:space="preserve">extend to responsible development and management of ocean wealth, ensuring that the material base for development is extracted </w:t>
      </w:r>
      <w:r>
        <w:rPr>
          <w:rFonts w:hint="default"/>
          <w:sz w:val="22"/>
          <w:szCs w:val="22"/>
          <w:lang w:val="en-US"/>
        </w:rPr>
        <w:t xml:space="preserve">with caution, responsibility and accountability and after desirability is balanced with risks . Not all desirable activities are feasible. Since feasibility is not only techno-economic. It is as much custodial duty bearing of commons for all, sustainability, equity and well being . The risks to these “soft” considerations are to be weighted as as seriously as the hardware of technology, capital and wealth. P0lcies, oversights and judicial interventions must balance </w:t>
      </w:r>
      <w:r>
        <w:rPr>
          <w:sz w:val="22"/>
          <w:szCs w:val="22"/>
        </w:rPr>
        <w:t xml:space="preserve">extraction rights with the rights of the ocean and its bed, its eco-bio systems, livelihoods of fishers, and of all </w:t>
      </w:r>
      <w:r>
        <w:rPr>
          <w:rFonts w:hint="default"/>
          <w:sz w:val="22"/>
          <w:szCs w:val="22"/>
          <w:lang w:val="en-US"/>
        </w:rPr>
        <w:t xml:space="preserve">of us the </w:t>
      </w:r>
      <w:r>
        <w:rPr>
          <w:sz w:val="22"/>
          <w:szCs w:val="22"/>
        </w:rPr>
        <w:t>ocean people—including the respondents and this Hon’ble High Court.</w:t>
      </w:r>
    </w:p>
    <w:p w14:paraId="60AD1348">
      <w:pPr>
        <w:pStyle w:val="17"/>
        <w:keepNext w:val="0"/>
        <w:keepLines w:val="0"/>
        <w:pageBreakBefore w:val="0"/>
        <w:widowControl/>
        <w:suppressLineNumbers w:val="0"/>
        <w:kinsoku/>
        <w:wordWrap/>
        <w:overflowPunct/>
        <w:topLinePunct w:val="0"/>
        <w:autoSpaceDE/>
        <w:autoSpaceDN/>
        <w:bidi w:val="0"/>
        <w:adjustRightInd/>
        <w:snapToGrid/>
        <w:spacing w:before="361" w:beforeLines="100" w:beforeAutospacing="0" w:after="361" w:afterLines="100" w:afterAutospacing="0" w:line="360" w:lineRule="auto"/>
        <w:textAlignment w:val="auto"/>
        <w:rPr>
          <w:sz w:val="22"/>
          <w:szCs w:val="22"/>
        </w:rPr>
      </w:pPr>
      <w:r>
        <w:rPr>
          <w:rStyle w:val="18"/>
          <w:sz w:val="22"/>
          <w:szCs w:val="22"/>
        </w:rPr>
        <w:t>2.1</w:t>
      </w:r>
      <w:r>
        <w:rPr>
          <w:rStyle w:val="18"/>
          <w:rFonts w:hint="default"/>
          <w:sz w:val="22"/>
          <w:szCs w:val="22"/>
          <w:lang w:val="en-US"/>
        </w:rPr>
        <w:t>4</w:t>
      </w:r>
      <w:r>
        <w:rPr>
          <w:rStyle w:val="18"/>
          <w:sz w:val="22"/>
          <w:szCs w:val="22"/>
        </w:rPr>
        <w:t xml:space="preserve"> </w:t>
      </w:r>
      <w:r>
        <w:rPr>
          <w:rStyle w:val="18"/>
          <w:rFonts w:hint="default"/>
          <w:sz w:val="22"/>
          <w:szCs w:val="22"/>
          <w:lang w:val="en-US"/>
        </w:rPr>
        <w:t xml:space="preserve">Critical Implications: </w:t>
      </w:r>
      <w:r>
        <w:rPr>
          <w:sz w:val="22"/>
          <w:szCs w:val="22"/>
        </w:rPr>
        <w:t>The petitioners beg the kind attention of the Hon’ble High Court to the following</w:t>
      </w:r>
      <w:r>
        <w:rPr>
          <w:rFonts w:hint="default"/>
          <w:sz w:val="22"/>
          <w:szCs w:val="22"/>
          <w:lang w:val="en-US"/>
        </w:rPr>
        <w:t xml:space="preserve"> implicationsof this ocean logic and overview of ocean mining: </w:t>
      </w:r>
      <w:r>
        <w:rPr>
          <w:sz w:val="22"/>
          <w:szCs w:val="22"/>
        </w:rPr>
        <w:t>(a) Regulatory bodies and civil society organizations are advocating caution—even a moratorium—until such gaps are understood and addressed, as the government’s acts, rules, and notifications fail to meet the stringent requirements of a responsible and precautionary approach to ocean bed mining.</w:t>
      </w:r>
      <w:r>
        <w:rPr>
          <w:sz w:val="22"/>
          <w:szCs w:val="22"/>
        </w:rPr>
        <w:br w:type="textWrapping"/>
      </w:r>
      <w:r>
        <w:rPr>
          <w:sz w:val="22"/>
          <w:szCs w:val="22"/>
        </w:rPr>
        <w:t>(b) Nonetheless, the Government of India is pushing hard to engage with ocean mining and thereby risks a conflict of interest in the Ministry of Mines</w:t>
      </w:r>
      <w:r>
        <w:rPr>
          <w:rFonts w:hint="default"/>
          <w:sz w:val="22"/>
          <w:szCs w:val="22"/>
          <w:lang w:val="en-US"/>
        </w:rPr>
        <w:t xml:space="preserve">, given its </w:t>
      </w:r>
      <w:r>
        <w:rPr>
          <w:sz w:val="22"/>
          <w:szCs w:val="22"/>
        </w:rPr>
        <w:t xml:space="preserve">dual </w:t>
      </w:r>
      <w:r>
        <w:rPr>
          <w:rFonts w:hint="default"/>
          <w:sz w:val="22"/>
          <w:szCs w:val="22"/>
          <w:lang w:val="en-US"/>
        </w:rPr>
        <w:t xml:space="preserve">and conflict of iterst roles of </w:t>
      </w:r>
      <w:r>
        <w:rPr>
          <w:sz w:val="22"/>
          <w:szCs w:val="22"/>
        </w:rPr>
        <w:t>regulator and promoter.</w:t>
      </w:r>
    </w:p>
    <w:p w14:paraId="486E4FFB">
      <w:pPr>
        <w:pStyle w:val="17"/>
        <w:keepNext w:val="0"/>
        <w:keepLines w:val="0"/>
        <w:pageBreakBefore w:val="0"/>
        <w:widowControl/>
        <w:suppressLineNumbers w:val="0"/>
        <w:kinsoku/>
        <w:wordWrap/>
        <w:overflowPunct/>
        <w:topLinePunct w:val="0"/>
        <w:autoSpaceDE/>
        <w:autoSpaceDN/>
        <w:bidi w:val="0"/>
        <w:adjustRightInd/>
        <w:snapToGrid/>
        <w:spacing w:before="361" w:beforeLines="100" w:beforeAutospacing="0" w:after="361" w:afterLines="100" w:afterAutospacing="0" w:line="360" w:lineRule="auto"/>
        <w:textAlignment w:val="auto"/>
        <w:rPr>
          <w:sz w:val="22"/>
          <w:szCs w:val="22"/>
        </w:rPr>
      </w:pPr>
      <w:r>
        <w:rPr>
          <w:rFonts w:hint="default"/>
          <w:sz w:val="22"/>
          <w:szCs w:val="22"/>
          <w:lang w:val="en-US"/>
        </w:rPr>
        <w:t xml:space="preserve">2.15 </w:t>
      </w:r>
      <w:r>
        <w:rPr>
          <w:sz w:val="22"/>
          <w:szCs w:val="22"/>
        </w:rPr>
        <w:t>The Hon’ble High Court may exercise its jurisdiction under Article 226 of the Constitution for curative interventions: through a writ of certiorari, order a moratorium on all processes set in motion in the mining blocks off the Kerala coast; and through a writ of mandamus, direct the respondents to undertake an independent expert-led Environmental Impact and Social Cost-Benefit Analysis, with accompanying consultations, focused specifically on the Kerala offshore blocks as a case study, ensuring the assessment and outcomes are context-specific, grounded in local realities, nuanced, and capable of informing broader ocean mining policies.</w:t>
      </w:r>
    </w:p>
    <w:p w14:paraId="292CC97D">
      <w:pPr>
        <w:pStyle w:val="17"/>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sz w:val="22"/>
          <w:szCs w:val="22"/>
        </w:rPr>
      </w:pPr>
      <w:r>
        <w:rPr>
          <w:rStyle w:val="18"/>
          <w:sz w:val="22"/>
          <w:szCs w:val="22"/>
        </w:rPr>
        <w:t>3. The Expedition into the Sunken Trillions:</w:t>
      </w:r>
    </w:p>
    <w:p w14:paraId="468143D8">
      <w:pPr>
        <w:pStyle w:val="17"/>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sz w:val="22"/>
          <w:szCs w:val="22"/>
        </w:rPr>
      </w:pPr>
      <w:r>
        <w:rPr>
          <w:rStyle w:val="18"/>
          <w:sz w:val="22"/>
          <w:szCs w:val="22"/>
        </w:rPr>
        <w:t>3.1 Ocean Bed Mining as the Sunrise Sector:</w:t>
      </w:r>
      <w:r>
        <w:rPr>
          <w:sz w:val="22"/>
          <w:szCs w:val="22"/>
        </w:rPr>
        <w:t>Ocean bed mining—with tens of trillions of dollars’ worth of untapped minerals, metals, rare earths, hydrocarbons, and genetic bio-material accumulated over millions of years—is now the sunrise sector. Coastal nations and their consortia, such as the Intergovernmental Forum on Mining, Minerals, Metals, and Sustainable Development (IGF) and the International Seabed Authority (ISA), are pushing to extract these sunken trillions, driven by strong demand for ocean resources as part of their development agendas.</w:t>
      </w:r>
    </w:p>
    <w:p w14:paraId="57103F42">
      <w:pPr>
        <w:pStyle w:val="17"/>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sz w:val="22"/>
          <w:szCs w:val="22"/>
        </w:rPr>
      </w:pPr>
      <w:r>
        <w:rPr>
          <w:rStyle w:val="18"/>
          <w:sz w:val="22"/>
          <w:szCs w:val="22"/>
        </w:rPr>
        <w:t>3.2 The State as Promoter, Not Regulator:</w:t>
      </w:r>
      <w:r>
        <w:rPr>
          <w:rStyle w:val="18"/>
          <w:rFonts w:hint="default"/>
          <w:sz w:val="22"/>
          <w:szCs w:val="22"/>
          <w:lang w:val="en-US"/>
        </w:rPr>
        <w:t xml:space="preserve"> </w:t>
      </w:r>
      <w:r>
        <w:rPr>
          <w:sz w:val="22"/>
          <w:szCs w:val="22"/>
        </w:rPr>
        <w:t>The State, under pressure to rapidly develop new supply chains, shifts from a neutral regulator to an active promoter of ocean mining ventures, using its authority to suppress dissent and manufacture consensus. As a result, its regulatory function becomes compromised, with the State effectively becoming a party interested in fast-tracking extraction rather than independently enforcing environmental and social safeguards. Regulatory standards are diluted, and procedural shortcuts are normalized under the guise of urgency and developmental necessity, as illustrated by the offshore sand mining tender off the Kerala Coast for 700 million tonnes of construction-grade sand.</w:t>
      </w:r>
    </w:p>
    <w:p w14:paraId="7A4E8347">
      <w:pPr>
        <w:pStyle w:val="17"/>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sz w:val="22"/>
          <w:szCs w:val="22"/>
        </w:rPr>
      </w:pPr>
      <w:r>
        <w:rPr>
          <w:rStyle w:val="18"/>
          <w:sz w:val="22"/>
          <w:szCs w:val="22"/>
        </w:rPr>
        <w:t>3.3 Institutional Risks and the Need for Oversight:</w:t>
      </w:r>
      <w:r>
        <w:rPr>
          <w:rStyle w:val="18"/>
          <w:rFonts w:hint="default"/>
          <w:sz w:val="22"/>
          <w:szCs w:val="22"/>
          <w:lang w:val="en-US"/>
        </w:rPr>
        <w:t xml:space="preserve"> </w:t>
      </w:r>
      <w:r>
        <w:rPr>
          <w:sz w:val="22"/>
          <w:szCs w:val="22"/>
        </w:rPr>
        <w:t>This convergence of demand pressure and State-driven supply expansion poses an institutional risk where the regulator itself requires regulation to preserve public trust, environmental accountability, and the rule of law. Courts must examine whether regulatory authorities, under demand pressure, have abandoned their primary duty of ensuring due process, environmental due diligence, and precautionary governance, particularly when the State’s sovereign rights over the EEZ are treated as arbitrary powers over res nullius rather than a custodial responsibility for the common good (res communis). In similar circumstances, a judge may recuse himself from hearing a case, applying the principle that even if he is fair-minded, he may not be seen as such, casting a shadow of doubt on his decisions. The maxim "justice must not only be done but be seen to be done," with the analogy that Caesar’s wife must be above suspicion, underscores this. These principles extend to regulatory agencies, which must not govern by their own laws alone but read and align with the laws and procedures of other jurisdictions to ensure neutrality and fairness.</w:t>
      </w:r>
    </w:p>
    <w:p w14:paraId="0ABC3656">
      <w:pPr>
        <w:pStyle w:val="17"/>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sz w:val="22"/>
          <w:szCs w:val="22"/>
        </w:rPr>
      </w:pPr>
      <w:r>
        <w:rPr>
          <w:rStyle w:val="18"/>
          <w:sz w:val="22"/>
          <w:szCs w:val="22"/>
        </w:rPr>
        <w:t>3.4 Judicial Precedents on Regulatory Integrity:</w:t>
      </w:r>
      <w:r>
        <w:rPr>
          <w:rStyle w:val="18"/>
          <w:rFonts w:hint="default"/>
          <w:sz w:val="22"/>
          <w:szCs w:val="22"/>
          <w:lang w:val="en-US"/>
        </w:rPr>
        <w:t xml:space="preserve"> </w:t>
      </w:r>
      <w:r>
        <w:rPr>
          <w:sz w:val="22"/>
          <w:szCs w:val="22"/>
        </w:rPr>
        <w:t xml:space="preserve">Courts have repeatedly warned that when the State or its agencies cease acting as neutral regulators and instead become promoters, facilitators, or beneficiaries, their actions are unconstitutional and require correction. In </w:t>
      </w:r>
      <w:r>
        <w:rPr>
          <w:rStyle w:val="14"/>
          <w:sz w:val="22"/>
          <w:szCs w:val="22"/>
        </w:rPr>
        <w:t>Centre for Public Interest Litigation v. Union of India</w:t>
      </w:r>
      <w:r>
        <w:rPr>
          <w:sz w:val="22"/>
          <w:szCs w:val="22"/>
        </w:rPr>
        <w:t xml:space="preserve"> (2G Spectrum Case), (2012) 3 SCC 1, the Supreme Court held: "The State is not the owner of natural resources, but a trustee for the people. Allocation of resources must be based on principles of equality and public interest, not on the discretion or expediency of the State" (Paras 75–76). In </w:t>
      </w:r>
      <w:r>
        <w:rPr>
          <w:rStyle w:val="14"/>
          <w:sz w:val="22"/>
          <w:szCs w:val="22"/>
        </w:rPr>
        <w:t>M.C. Mehta v. Union of India</w:t>
      </w:r>
      <w:r>
        <w:rPr>
          <w:sz w:val="22"/>
          <w:szCs w:val="22"/>
        </w:rPr>
        <w:t xml:space="preserve"> (Taj Trapezium Case), (1997) 2 SCC 353, the Court stated: "When the State fails to perform its role as protector of the environment and public health, the Court must step in to ensure that constitutional rights are not sacrificed at the altar of economic development." In </w:t>
      </w:r>
      <w:r>
        <w:rPr>
          <w:rStyle w:val="14"/>
          <w:sz w:val="22"/>
          <w:szCs w:val="22"/>
        </w:rPr>
        <w:t>Samaj Parivartana Samudaya v. State of Karnataka</w:t>
      </w:r>
      <w:r>
        <w:rPr>
          <w:sz w:val="22"/>
          <w:szCs w:val="22"/>
        </w:rPr>
        <w:t xml:space="preserve"> (Mining Scam Case), (2013) 8 SCC 154, it was held: "The State cannot abdicate its constitutional duty to protect public resources. Where the regulatory machinery is captured or compromised, judicial intervention is necessary to restore accountability and public trust." In </w:t>
      </w:r>
      <w:r>
        <w:rPr>
          <w:rStyle w:val="14"/>
          <w:sz w:val="22"/>
          <w:szCs w:val="22"/>
        </w:rPr>
        <w:t>Common Cause v. Union of India</w:t>
      </w:r>
      <w:r>
        <w:rPr>
          <w:sz w:val="22"/>
          <w:szCs w:val="22"/>
        </w:rPr>
        <w:t xml:space="preserve"> (Coal Allocation Case), (2017) 9 SCC 499, the Court reiterated: "The State cannot act as an agent for private parties or as a facilitator of private gain at the cost of public resources."</w:t>
      </w:r>
    </w:p>
    <w:p w14:paraId="6225EA88">
      <w:pPr>
        <w:pStyle w:val="17"/>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sz w:val="22"/>
          <w:szCs w:val="22"/>
        </w:rPr>
      </w:pPr>
      <w:r>
        <w:rPr>
          <w:rStyle w:val="18"/>
          <w:sz w:val="22"/>
          <w:szCs w:val="22"/>
        </w:rPr>
        <w:t>3.5 Constitutional Violations and Judicial Role:</w:t>
      </w:r>
      <w:r>
        <w:rPr>
          <w:rStyle w:val="18"/>
          <w:rFonts w:hint="default"/>
          <w:sz w:val="22"/>
          <w:szCs w:val="22"/>
          <w:lang w:val="en-US"/>
        </w:rPr>
        <w:t xml:space="preserve"> </w:t>
      </w:r>
      <w:r>
        <w:rPr>
          <w:sz w:val="22"/>
          <w:szCs w:val="22"/>
        </w:rPr>
        <w:t>Courts have consistently held that when the State, instead of acting as an impartial regulator and trustee of public resources, becomes a promoter of resource extraction under market pressures, it violates constitutional duties under Articles 14 (equality before law) and 21 (right to life and a clean environment). In such situations, courts have intervened to restore regulatory integrity and public trust, a role this petition seeks in the context of ocean bed mining.</w:t>
      </w:r>
    </w:p>
    <w:p w14:paraId="2B2AF082">
      <w:pPr>
        <w:pStyle w:val="17"/>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sz w:val="22"/>
          <w:szCs w:val="22"/>
        </w:rPr>
      </w:pPr>
      <w:r>
        <w:rPr>
          <w:rStyle w:val="18"/>
          <w:sz w:val="22"/>
          <w:szCs w:val="22"/>
        </w:rPr>
        <w:t>3.6 Ocean-Specific Challenges Amplify Risks:</w:t>
      </w:r>
      <w:r>
        <w:rPr>
          <w:rStyle w:val="18"/>
          <w:rFonts w:hint="default"/>
          <w:sz w:val="22"/>
          <w:szCs w:val="22"/>
          <w:lang w:val="en-US"/>
        </w:rPr>
        <w:t xml:space="preserve"> </w:t>
      </w:r>
      <w:r>
        <w:rPr>
          <w:sz w:val="22"/>
          <w:szCs w:val="22"/>
        </w:rPr>
        <w:t>Transparent ocean bed mining management requires an uncompromised regulator with a deep understanding of ocean logic and the risks of acting as a promoter rather than a steward. Ocean ecosystems are more complex and integrated than their terrestrial counterparts, resisting compartmentalization into jurisdictional boundaries or per-project insulation. This amplifies the consequences of ecological mismanagement and demands stringent environmental scrutiny. The vast body of evidence from terrestrial mining must inform how regulators and courts approach ocean mining: precaution must guide every step, with risk assessments preceding project planning to ensure decisions remain open-ended, not pre-closed. Only risks assessed as acceptable should be taken, accompanied by fair mechanisms for reporting, mitigation, compensation, and benefit-sharing.</w:t>
      </w:r>
    </w:p>
    <w:p w14:paraId="5331D920">
      <w:pPr>
        <w:pStyle w:val="17"/>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sz w:val="22"/>
          <w:szCs w:val="22"/>
        </w:rPr>
      </w:pPr>
      <w:r>
        <w:rPr>
          <w:rStyle w:val="18"/>
          <w:sz w:val="22"/>
          <w:szCs w:val="22"/>
        </w:rPr>
        <w:t>3.7 Transparency, Accountability, and Stakeholder Inclusion:</w:t>
      </w:r>
      <w:r>
        <w:rPr>
          <w:sz w:val="22"/>
          <w:szCs w:val="22"/>
        </w:rPr>
        <w:t>The two most critical guarantors of precaution and integrity are transparency and accountability in the public domain, and consultative approaches involving all stakeholders—not just selectively handpicked parties. The State must recognize its sovereign rights over the EEZ as a custodial responsibility for the common good, not a means to concentrate resources and wealth in the hands of a few. Those with customary tenure rights, such as fishers, must have their livelihoods and futures valued and protected through a publicly articulated, committed duty, subject to public scrutiny. Stakeholders extend beyond fishers, corporates, and the State—the larger public, as ocean people, also have real stakes in ocean management, especially since damages to ocean beds are often hidden and may not manifest in a straightforward cause-effect relationship.</w:t>
      </w:r>
    </w:p>
    <w:p w14:paraId="5A2762B0">
      <w:pPr>
        <w:pStyle w:val="17"/>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sz w:val="22"/>
          <w:szCs w:val="22"/>
        </w:rPr>
      </w:pPr>
      <w:r>
        <w:rPr>
          <w:rStyle w:val="18"/>
          <w:sz w:val="22"/>
          <w:szCs w:val="22"/>
        </w:rPr>
        <w:t>3.8 From Desirability to Feasibility—An Inclusive Process:</w:t>
      </w:r>
      <w:r>
        <w:rPr>
          <w:rStyle w:val="18"/>
          <w:rFonts w:hint="default"/>
          <w:sz w:val="22"/>
          <w:szCs w:val="22"/>
          <w:lang w:val="en-US"/>
        </w:rPr>
        <w:t xml:space="preserve"> </w:t>
      </w:r>
      <w:r>
        <w:rPr>
          <w:sz w:val="22"/>
          <w:szCs w:val="22"/>
        </w:rPr>
        <w:t>The transition from desirability to feasibility is neither evident nor straightforward. Desirability is subjective: while the State may deem offshore mining desirable, other stakeholders may find it undesirable. Sovereign rights over the EEZ do not grant the State the authority to unilaterally override dissenting views, establish feasibility in collaboration only with those who share its perspective, and shut out those who oppose the activity. Only through inclusive stakeholder consultations can stakes, risks, costs, and benefits be assessed, and the project’s feasibility concluded. Even the perceived necessity and urgency of offshore mining are not sufficient reasons to short-circuit processes and hastily conclude feasibility.</w:t>
      </w:r>
    </w:p>
    <w:p w14:paraId="56A63CD7">
      <w:pPr>
        <w:pStyle w:val="17"/>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sz w:val="22"/>
          <w:szCs w:val="22"/>
        </w:rPr>
      </w:pPr>
      <w:r>
        <w:rPr>
          <w:rStyle w:val="18"/>
          <w:sz w:val="22"/>
          <w:szCs w:val="22"/>
        </w:rPr>
        <w:t>3.9 Ensuring Objectivity in Decision-Making:</w:t>
      </w:r>
      <w:r>
        <w:rPr>
          <w:rStyle w:val="18"/>
          <w:rFonts w:hint="default"/>
          <w:sz w:val="22"/>
          <w:szCs w:val="22"/>
          <w:lang w:val="en-US"/>
        </w:rPr>
        <w:t xml:space="preserve"> </w:t>
      </w:r>
      <w:r>
        <w:rPr>
          <w:sz w:val="22"/>
          <w:szCs w:val="22"/>
        </w:rPr>
        <w:t>Feasibility demands objectivity, neutrality, and the mental distancing required for stakeholder analysis and risk assessment. Decisions must weigh whether benefits outweigh risks, allowing the freedom to step back if negatives and risks far outweigh potential benefits. Decision-making is often influenced by conscious and unconscious biases—our tendency to see what we want and ignore what we don’t, based on subjective factors. The Ministry of Mines must be aware of these biases and the perception of bias, akin to judges recusing themselves from cases to uphold the principle that "justice must not only be done but be seen to be done," with the analogy that Caesar’s wife must be above suspicion. To address this, the Ministry should establish an independent oversight agency to monitor project proponents, strictly adhering to all requirements for neutrality, fairness, impartiality, and a level playing field. This agency must not rely solely on its own laws but read and align with the laws and procedures of other jurisdictions, ensuring decisions are not predetermined but genuinely open to scrutiny and adjustment, with provisions for mitigation, adequate compensation for those bearing costs, and benefit-sharing for those whose sacrifices enable the project.</w:t>
      </w:r>
    </w:p>
    <w:p w14:paraId="1BAD3DFC">
      <w:pPr>
        <w:pStyle w:val="17"/>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sz w:val="22"/>
          <w:szCs w:val="22"/>
        </w:rPr>
      </w:pPr>
      <w:r>
        <w:rPr>
          <w:rStyle w:val="18"/>
          <w:sz w:val="22"/>
          <w:szCs w:val="22"/>
        </w:rPr>
        <w:t>3.10 Desirability vs. Feasibility as a Second Layer to Ocean Logic:</w:t>
      </w:r>
      <w:r>
        <w:rPr>
          <w:sz w:val="22"/>
          <w:szCs w:val="22"/>
        </w:rPr>
        <w:t>Beyond the principles of ocean logic, an additional requirement emerges: desirability must not be conflated with feasibility. The State’s assertion that ocean mining is desirable, driven by economic demand, does not automatically render it feasible. This distinction forms a second layer of scrutiny, ensuring that project planning adheres to rigorous, independent evaluation rather than State-driven assumptions. This petition concludes that only through such a layered approach—combining ocean-specific governance with a clear separation of desirability from feasibility—can the exploitation of the sunken trillions be managed responsibly, safeguarding both the environment and the rights of all stakeholders.</w:t>
      </w:r>
    </w:p>
    <w:p w14:paraId="431E95F3">
      <w:pPr>
        <w:numPr>
          <w:ilvl w:val="0"/>
          <w:numId w:val="0"/>
        </w:numPr>
        <w:ind w:leftChars="0"/>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 xml:space="preserve">4. The Call for a Precautionary Approach: </w:t>
      </w:r>
    </w:p>
    <w:p w14:paraId="75270ECA">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lang w:val="en-US"/>
        </w:rPr>
        <w:t xml:space="preserve">4.1 </w:t>
      </w:r>
      <w:r>
        <w:rPr>
          <w:rFonts w:hint="default" w:ascii="Times New Roman" w:hAnsi="Times New Roman" w:cs="Times New Roman"/>
          <w:color w:val="auto"/>
          <w:sz w:val="22"/>
          <w:szCs w:val="22"/>
        </w:rPr>
        <w:t>India stands today at the threshold of a significant expansion into ocean mining. As submitted in Part 3 above, this expansion is being driven by national development agendas that task regulators not only with safeguarding environmental and social interests but also with facilitating the growth of a new industrial frontier. Such a dual mandate, by its very design, risks compromising the independence and rigor of regulatory oversight. As also submitted in Part 2, ocean mining presents far greater challenges. Unlike terrestrial ecosystems, ocean ecosystems are interconnected on vast, transboundary scales, and the consequences of harm, once triggered, may be irreversible and beyond national control. A mere extension of terrestrial regulatory approaches to oceanic domains would be deeply inadequate and irresponsible. Therefore, it is necessary to develop ocean-logic driven management and regulatory protocols, grounded in the unique characteristics of marine ecosystems.</w:t>
      </w:r>
    </w:p>
    <w:p w14:paraId="4DC33D59">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4.2</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It is imperative that the institutional memory of terrestrial mining governance be consciously recalled. Despite contributing substantially to national development, terrestrial mining also exposed deep-seated regulatory failures — failures that this Hon'ble Court has had to repeatedly address. The causes of these failures are well-documented: regulatory institutions became entangled in the political economy of resource extraction, weakened by internal conflicts of interest, and constrained by fragmented, sector-driven approaches lacking comprehensive scientific grounding. Oversight bodies, though constituted under constitutional compulsions, found their powers curtailed over time by administrative measures often shielded from public scrutiny.</w:t>
      </w:r>
    </w:p>
    <w:p w14:paraId="2FA4AAD6">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4.3</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It is respectfully submitted that before proceeding further, India must undertake a rigorous, participatory, and transparent exercise to develop a single, comprehensive code of best practices for ocean mining. This exercise must be informed by a candid and evidence-based review of the shortcomings of terrestrial mining governance and must be conducted through open consultations on a level playing field, facilitated by independent and scientifically informed institutions. Until such a framework is fully developed, deliberated, and adopted, a precautionary moratorium on ocean mining activities is both necessary and constitutionally mandated. This is not a call to abandon ocean mining; it is a call to ensure that the necessary groundwork is laid before irreversible steps are taken.</w:t>
      </w:r>
    </w:p>
    <w:p w14:paraId="710FF8E3">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4.4</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This petition is not the only voice calling for a precautionary approach. There is a growing “Momentum for a Moratorium,” as the Deep Sea Conservation Coalition (DSCC) terms it. The call is to prioritize biodiversity and livelihoods over irresponsible ocean bed mining. Before ocean bed mining occurs, it must be clearly demonstrated that such activity will be managed to ensure effective protection of the marine environment. Until such safeguards are ensured, the International Union for Conservation of Nature (IUCN) has urged adherence to Part XII of the UN Convention on the Law of the Sea (UNCLOS), environmental protection laws, stewardship of the commons, the “do no harm” principle—especially concerning vulnerable stakeholders with tenure rights—and the broader precautionary principle to avoid irrecoverable damage to life-supporting ecosystems. This demand is not for a ban but for a stepping back—to ensure due diligence, appropriateness, adequacy, and enforceability of preventive and corrective regulatory mechanisms.</w:t>
      </w:r>
    </w:p>
    <w:p w14:paraId="5ABA0882">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4.5</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 xml:space="preserve">The calls for caution from civil society have found resonance even within intergovernmental bodies such as the International Seabed Authority (ISA)—an entity otherwise actively lobbying the interests of coastal states for ocean mining. These advisories can be summarized thus: </w:t>
      </w:r>
      <w:r>
        <w:rPr>
          <w:rStyle w:val="18"/>
          <w:rFonts w:hint="default" w:ascii="Times New Roman" w:hAnsi="Times New Roman" w:cs="Times New Roman"/>
          <w:color w:val="auto"/>
          <w:sz w:val="22"/>
          <w:szCs w:val="22"/>
        </w:rPr>
        <w:t>Manage One to Advance the Other</w:t>
      </w:r>
      <w:r>
        <w:rPr>
          <w:rFonts w:hint="default" w:ascii="Times New Roman" w:hAnsi="Times New Roman" w:cs="Times New Roman"/>
          <w:color w:val="auto"/>
          <w:sz w:val="22"/>
          <w:szCs w:val="22"/>
        </w:rPr>
        <w:t xml:space="preserve"> — protect environmental and livelihood interests in order to promote the push for extraction for development and growth. These advisories emphasize distributional justice, common welfare, and international cooperation in marine resource management. The ocean is a shared and indivisible global commons. Oceanic wealth must be used to promote inclusive development and an equitable spread of benefits. It should not deepen and widen inequalities. Questions of who benefits, who bears the costs, and whose voices are heard are central to any democratic and sustainable approach to ocean mining.</w:t>
      </w:r>
    </w:p>
    <w:p w14:paraId="49852F8B">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4.6</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A Two-Pronged Approach to Ocean Management: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The call is not for an indefinite moratorium on ocean mining, but for a moratorium until a two-pronged and mutually complementing regulatory system is in place. One prong must advance backward linkages—ensuring environmental and livelihood accountability. The second must enable forward linkages—responsible extraction for national growth. This Petition aligns with both concerns. It advocates for a balanced, responsible approach.</w:t>
      </w:r>
    </w:p>
    <w:p w14:paraId="5385066A">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4.7</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Best Practices within the EEZ:</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 xml:space="preserve">The United Nations Convention on the Law of the Sea (UNCLOS) grants coastal nations specific sovereign rights over marine resources within 200 nautical miles of their shoreline. However, these rights must not be misconstrued as absolute, as if the Exclusive Economic Zone (EEZ) were a </w:t>
      </w:r>
      <w:r>
        <w:rPr>
          <w:rStyle w:val="14"/>
          <w:rFonts w:hint="default" w:ascii="Times New Roman" w:hAnsi="Times New Roman" w:cs="Times New Roman"/>
          <w:color w:val="auto"/>
          <w:sz w:val="22"/>
          <w:szCs w:val="22"/>
        </w:rPr>
        <w:t>res nullius</w:t>
      </w:r>
      <w:r>
        <w:rPr>
          <w:rFonts w:hint="default" w:ascii="Times New Roman" w:hAnsi="Times New Roman" w:cs="Times New Roman"/>
          <w:color w:val="auto"/>
          <w:sz w:val="22"/>
          <w:szCs w:val="22"/>
        </w:rPr>
        <w:t xml:space="preserve"> where the state may do as it pleases, without accountability. Sovereign rights over the EEZ are accompanied by solemn obligations: to manage resources sustainably, protect the marine environment, and respect and promote the tenure rights of fish workers. The nation-state must understand and respect the interconnected nature of the ocean. Activities within one EEZ can have transboundary impacts, affecting neighboring states and the global marine ecosystem. Regulations must ensure that activities within the EEZ do not harm the larger oceanic and biological systems.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Moreover, entering into ocean mining via offshore mining within the EEZ must not become a subterfuge to avoid meeting demanding international advisories and accountability standards. If India is seen to muddy the waters of its EEZ, it may erode international confidence in its commitment to responsible stewardship of the commons and jeopardize its access to deep-sea mining rights in areas beyond national jurisdiction.</w:t>
      </w:r>
    </w:p>
    <w:p w14:paraId="0042A6F6">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2"/>
          <w:szCs w:val="22"/>
          <w:lang w:val="en-US"/>
        </w:rPr>
      </w:pPr>
      <w:r>
        <w:rPr>
          <w:rFonts w:hint="default" w:ascii="Times New Roman" w:hAnsi="Times New Roman" w:cs="Times New Roman"/>
          <w:color w:val="auto"/>
          <w:sz w:val="22"/>
          <w:szCs w:val="22"/>
        </w:rPr>
        <w:t>4.8</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The Policy Choice: Manage One with Sensitivity to Advance the Other with Precautions:</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In response to growing pressure and concerns, intergovernmental agencies advocating for ocean mining—such as the Intergovernmental Forum on Mining, Minerals, Metals, and Sustainable Development (IGF) and the International Seabed Authority (ISA)—have advised coastal nations, including India, to demonstrate caution, restraint, responsible governance, and careful management of the ocean bed, even within offshore mining zones.Jurisdictional boundaries do not insulate the ocean into isolated silos. Nations must bring to EEZ management and governance the same degree of accountability that is being demanded for deep ocean mining.</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 xml:space="preserve">The core message is clear: </w:t>
      </w:r>
      <w:r>
        <w:rPr>
          <w:rStyle w:val="18"/>
          <w:rFonts w:hint="default" w:ascii="Times New Roman" w:hAnsi="Times New Roman" w:cs="Times New Roman"/>
          <w:color w:val="auto"/>
          <w:sz w:val="22"/>
          <w:szCs w:val="22"/>
        </w:rPr>
        <w:t>Balance.</w:t>
      </w:r>
      <w:r>
        <w:rPr>
          <w:rFonts w:hint="default" w:ascii="Times New Roman" w:hAnsi="Times New Roman" w:cs="Times New Roman"/>
          <w:color w:val="auto"/>
          <w:sz w:val="22"/>
          <w:szCs w:val="22"/>
        </w:rPr>
        <w:t xml:space="preserve"> Manage the ocean and its current stakeholders with sensitivity and responsibility in order to advance mining interests. </w:t>
      </w:r>
      <w:r>
        <w:rPr>
          <w:rStyle w:val="18"/>
          <w:rFonts w:hint="default" w:ascii="Times New Roman" w:hAnsi="Times New Roman" w:cs="Times New Roman"/>
          <w:color w:val="auto"/>
          <w:sz w:val="22"/>
          <w:szCs w:val="22"/>
        </w:rPr>
        <w:t>Do not muddy the waters.</w:t>
      </w:r>
      <w:r>
        <w:rPr>
          <w:rStyle w:val="18"/>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Ocean mining is an area where member nations, including India, lack significant prior experience. This makes the adoption of precautionary measures essential. The risks are too great to be managed on the run. They must be foreseen and mitigated at the design stage—not left as afterthoughts or reactive responses.</w:t>
      </w:r>
      <w:r>
        <w:rPr>
          <w:rFonts w:hint="default" w:ascii="Times New Roman" w:hAnsi="Times New Roman" w:cs="Times New Roman"/>
          <w:color w:val="auto"/>
          <w:sz w:val="22"/>
          <w:szCs w:val="22"/>
          <w:lang w:val="en-US"/>
        </w:rPr>
        <w:t xml:space="preserve"> </w:t>
      </w:r>
      <w:bookmarkStart w:id="0" w:name="_GoBack"/>
      <w:bookmarkEnd w:id="0"/>
      <w:r>
        <w:rPr>
          <w:rFonts w:hint="default" w:ascii="Times New Roman" w:hAnsi="Times New Roman" w:cs="Times New Roman"/>
          <w:color w:val="auto"/>
          <w:sz w:val="22"/>
          <w:szCs w:val="22"/>
          <w:lang w:val="en-US"/>
        </w:rPr>
        <w:t xml:space="preserve">An exclusionary approach claiming EEZ sovereignty is inappropriate. ISA itself does not think that way and the inter connectivity principle points to the fact that ocean waters and beds are nit bounded by jurisdictional boundaries. </w:t>
      </w:r>
    </w:p>
    <w:p w14:paraId="347D21BB">
      <w:pPr>
        <w:pStyle w:val="17"/>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sz w:val="22"/>
          <w:szCs w:val="22"/>
          <w:lang w:val="en-US"/>
        </w:rPr>
      </w:pPr>
    </w:p>
    <w:sectPr>
      <w:headerReference r:id="rId5" w:type="default"/>
      <w:footerReference r:id="rId6"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BB5AB9">
    <w:pPr>
      <w:pStyle w:val="15"/>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2B7D02">
                          <w:pPr>
                            <w:pStyle w:val="1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662B7D02">
                    <w:pPr>
                      <w:pStyle w:val="1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42C9AF">
    <w:pPr>
      <w:pStyle w:val="1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ADB042"/>
    <w:multiLevelType w:val="singleLevel"/>
    <w:tmpl w:val="8AADB042"/>
    <w:lvl w:ilvl="0" w:tentative="0">
      <w:start w:val="1"/>
      <w:numFmt w:val="decimal"/>
      <w:suff w:val="space"/>
      <w:lvlText w:val="%1."/>
      <w:lvlJc w:val="left"/>
    </w:lvl>
  </w:abstractNum>
  <w:abstractNum w:abstractNumId="1">
    <w:nsid w:val="D344CDC4"/>
    <w:multiLevelType w:val="singleLevel"/>
    <w:tmpl w:val="D344CDC4"/>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2NDAwNLIwNjI0tbA0MTJT0lEKTi0uzszPAykwrAUADSYvYCwAAAA="/>
  </w:docVars>
  <w:rsids>
    <w:rsidRoot w:val="00CC6A62"/>
    <w:rsid w:val="00035CB5"/>
    <w:rsid w:val="00094ED8"/>
    <w:rsid w:val="001F00ED"/>
    <w:rsid w:val="003822DF"/>
    <w:rsid w:val="004B78ED"/>
    <w:rsid w:val="004D03A8"/>
    <w:rsid w:val="004E05C7"/>
    <w:rsid w:val="005B3E21"/>
    <w:rsid w:val="00636E9F"/>
    <w:rsid w:val="00643D67"/>
    <w:rsid w:val="00671F8C"/>
    <w:rsid w:val="00677738"/>
    <w:rsid w:val="006F14AC"/>
    <w:rsid w:val="007538E4"/>
    <w:rsid w:val="0075595C"/>
    <w:rsid w:val="00787F7C"/>
    <w:rsid w:val="007B4E50"/>
    <w:rsid w:val="00945FC4"/>
    <w:rsid w:val="009B7F9B"/>
    <w:rsid w:val="009E35AA"/>
    <w:rsid w:val="00A81760"/>
    <w:rsid w:val="00AB0B3A"/>
    <w:rsid w:val="00AC6B9B"/>
    <w:rsid w:val="00B42464"/>
    <w:rsid w:val="00CC6A62"/>
    <w:rsid w:val="00D22FBA"/>
    <w:rsid w:val="012E6E5A"/>
    <w:rsid w:val="06296897"/>
    <w:rsid w:val="09BD1232"/>
    <w:rsid w:val="0F1F6A6B"/>
    <w:rsid w:val="12DC55F1"/>
    <w:rsid w:val="140F434A"/>
    <w:rsid w:val="14E76409"/>
    <w:rsid w:val="16BA3244"/>
    <w:rsid w:val="17971BDD"/>
    <w:rsid w:val="1F4B180F"/>
    <w:rsid w:val="2272450D"/>
    <w:rsid w:val="23B634EC"/>
    <w:rsid w:val="247F01D2"/>
    <w:rsid w:val="26C467F8"/>
    <w:rsid w:val="2BCE4167"/>
    <w:rsid w:val="2DF34282"/>
    <w:rsid w:val="35DE5F46"/>
    <w:rsid w:val="374739FB"/>
    <w:rsid w:val="43D92A11"/>
    <w:rsid w:val="43F07935"/>
    <w:rsid w:val="44383252"/>
    <w:rsid w:val="44B50F40"/>
    <w:rsid w:val="48756A02"/>
    <w:rsid w:val="524E3F98"/>
    <w:rsid w:val="533E6973"/>
    <w:rsid w:val="5604783A"/>
    <w:rsid w:val="576B11B4"/>
    <w:rsid w:val="597F186A"/>
    <w:rsid w:val="601E5728"/>
    <w:rsid w:val="62DE7C52"/>
    <w:rsid w:val="6432133A"/>
    <w:rsid w:val="66FF4CAE"/>
    <w:rsid w:val="68282F1D"/>
    <w:rsid w:val="6C255368"/>
    <w:rsid w:val="6C72436A"/>
    <w:rsid w:val="6CF468AF"/>
    <w:rsid w:val="6DA203DE"/>
    <w:rsid w:val="6DC66F0B"/>
    <w:rsid w:val="6E3546AE"/>
    <w:rsid w:val="6EA54815"/>
    <w:rsid w:val="71A409A1"/>
    <w:rsid w:val="72AB3026"/>
    <w:rsid w:val="72D87C5B"/>
    <w:rsid w:val="73147A31"/>
    <w:rsid w:val="75D31682"/>
    <w:rsid w:val="76D9675B"/>
    <w:rsid w:val="78F26EEC"/>
    <w:rsid w:val="7CFE4F19"/>
    <w:rsid w:val="7D0D154C"/>
    <w:rsid w:val="7D182559"/>
    <w:rsid w:val="7EEE7757"/>
    <w:rsid w:val="7F890F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21"/>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2"/>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3"/>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4"/>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5"/>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pPr>
      <w:keepNext w:val="0"/>
      <w:keepLines w:val="0"/>
      <w:widowControl/>
      <w:suppressLineNumbers w:val="0"/>
      <w:spacing w:before="0" w:beforeAutospacing="0" w:after="160" w:afterAutospacing="0" w:line="276" w:lineRule="auto"/>
      <w:ind w:left="0" w:right="0"/>
    </w:pPr>
    <w:rPr>
      <w:rFonts w:hint="eastAsia" w:ascii="Calibri" w:hAnsi="Calibri" w:cs="Times New Roman"/>
      <w:kern w:val="2"/>
      <w:sz w:val="24"/>
      <w:szCs w:val="24"/>
    </w:rPr>
    <w:tblPr>
      <w:tblCellMar>
        <w:top w:w="0" w:type="dxa"/>
        <w:left w:w="108" w:type="dxa"/>
        <w:bottom w:w="0" w:type="dxa"/>
        <w:right w:w="108" w:type="dxa"/>
      </w:tblCellMar>
    </w:tblPr>
  </w:style>
  <w:style w:type="paragraph" w:styleId="13">
    <w:name w:val="Body Text"/>
    <w:basedOn w:val="1"/>
    <w:qFormat/>
    <w:uiPriority w:val="1"/>
    <w:rPr>
      <w:rFonts w:ascii="Times New Roman" w:hAnsi="Times New Roman" w:eastAsia="Times New Roman" w:cs="Times New Roman"/>
      <w:sz w:val="24"/>
      <w:szCs w:val="24"/>
      <w:lang w:val="en-US" w:eastAsia="en-US" w:bidi="ar-SA"/>
    </w:rPr>
  </w:style>
  <w:style w:type="character" w:styleId="14">
    <w:name w:val="Emphasis"/>
    <w:basedOn w:val="11"/>
    <w:qFormat/>
    <w:uiPriority w:val="20"/>
    <w:rPr>
      <w:i/>
      <w:iCs/>
    </w:rPr>
  </w:style>
  <w:style w:type="paragraph" w:styleId="15">
    <w:name w:val="footer"/>
    <w:basedOn w:val="1"/>
    <w:semiHidden/>
    <w:unhideWhenUsed/>
    <w:qFormat/>
    <w:uiPriority w:val="99"/>
    <w:pPr>
      <w:tabs>
        <w:tab w:val="center" w:pos="4153"/>
        <w:tab w:val="right" w:pos="8306"/>
      </w:tabs>
      <w:snapToGrid w:val="0"/>
      <w:jc w:val="left"/>
    </w:pPr>
    <w:rPr>
      <w:sz w:val="18"/>
      <w:szCs w:val="18"/>
    </w:rPr>
  </w:style>
  <w:style w:type="paragraph" w:styleId="16">
    <w:name w:val="header"/>
    <w:basedOn w:val="1"/>
    <w:semiHidden/>
    <w:unhideWhenUsed/>
    <w:qFormat/>
    <w:uiPriority w:val="99"/>
    <w:pPr>
      <w:tabs>
        <w:tab w:val="center" w:pos="4153"/>
        <w:tab w:val="right" w:pos="8306"/>
      </w:tabs>
      <w:snapToGrid w:val="0"/>
    </w:pPr>
    <w:rPr>
      <w:sz w:val="18"/>
      <w:szCs w:val="18"/>
    </w:rPr>
  </w:style>
  <w:style w:type="paragraph" w:styleId="17">
    <w:name w:val="Normal (Web)"/>
    <w:basedOn w:val="1"/>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8">
    <w:name w:val="Strong"/>
    <w:basedOn w:val="11"/>
    <w:qFormat/>
    <w:uiPriority w:val="22"/>
    <w:rPr>
      <w:b/>
      <w:bCs/>
    </w:rPr>
  </w:style>
  <w:style w:type="paragraph" w:styleId="19">
    <w:name w:val="Subtitle"/>
    <w:basedOn w:val="1"/>
    <w:next w:val="1"/>
    <w:link w:val="3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0">
    <w:name w:val="Title"/>
    <w:basedOn w:val="1"/>
    <w:next w:val="1"/>
    <w:link w:val="30"/>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1">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2">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3">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4">
    <w:name w:val="Heading 4 Char"/>
    <w:basedOn w:val="11"/>
    <w:link w:val="5"/>
    <w:semiHidden/>
    <w:qFormat/>
    <w:uiPriority w:val="9"/>
    <w:rPr>
      <w:rFonts w:eastAsiaTheme="majorEastAsia" w:cstheme="majorBidi"/>
      <w:i/>
      <w:iCs/>
      <w:color w:val="2F5597" w:themeColor="accent1" w:themeShade="BF"/>
    </w:rPr>
  </w:style>
  <w:style w:type="character" w:customStyle="1" w:styleId="25">
    <w:name w:val="Heading 5 Char"/>
    <w:basedOn w:val="11"/>
    <w:link w:val="6"/>
    <w:semiHidden/>
    <w:qFormat/>
    <w:uiPriority w:val="9"/>
    <w:rPr>
      <w:rFonts w:eastAsiaTheme="majorEastAsia" w:cstheme="majorBidi"/>
      <w:color w:val="2F5597" w:themeColor="accent1" w:themeShade="BF"/>
    </w:rPr>
  </w:style>
  <w:style w:type="character" w:customStyle="1" w:styleId="26">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7">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9">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0">
    <w:name w:val="Title Char"/>
    <w:basedOn w:val="11"/>
    <w:link w:val="20"/>
    <w:qFormat/>
    <w:uiPriority w:val="10"/>
    <w:rPr>
      <w:rFonts w:asciiTheme="majorHAnsi" w:hAnsiTheme="majorHAnsi" w:eastAsiaTheme="majorEastAsia" w:cstheme="majorBidi"/>
      <w:spacing w:val="-10"/>
      <w:kern w:val="28"/>
      <w:sz w:val="56"/>
      <w:szCs w:val="56"/>
    </w:rPr>
  </w:style>
  <w:style w:type="character" w:customStyle="1" w:styleId="31">
    <w:name w:val="Subtitle Char"/>
    <w:basedOn w:val="11"/>
    <w:link w:val="1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Quote Char"/>
    <w:basedOn w:val="11"/>
    <w:link w:val="32"/>
    <w:qFormat/>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Intense Emphasis"/>
    <w:basedOn w:val="11"/>
    <w:qFormat/>
    <w:uiPriority w:val="21"/>
    <w:rPr>
      <w:i/>
      <w:iCs/>
      <w:color w:val="2F5597" w:themeColor="accent1" w:themeShade="BF"/>
    </w:rPr>
  </w:style>
  <w:style w:type="paragraph" w:styleId="36">
    <w:name w:val="Intense Quote"/>
    <w:basedOn w:val="1"/>
    <w:next w:val="1"/>
    <w:link w:val="37"/>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7">
    <w:name w:val="Intense Quote Char"/>
    <w:basedOn w:val="11"/>
    <w:link w:val="36"/>
    <w:qFormat/>
    <w:uiPriority w:val="30"/>
    <w:rPr>
      <w:i/>
      <w:iCs/>
      <w:color w:val="2F5597" w:themeColor="accent1" w:themeShade="BF"/>
    </w:rPr>
  </w:style>
  <w:style w:type="character" w:customStyle="1" w:styleId="38">
    <w:name w:val="Intense Reference"/>
    <w:basedOn w:val="11"/>
    <w:qFormat/>
    <w:uiPriority w:val="32"/>
    <w:rPr>
      <w:b/>
      <w:bCs/>
      <w:smallCaps/>
      <w:color w:val="2F5597" w:themeColor="accent1" w:themeShade="BF"/>
      <w:spacing w:val="5"/>
    </w:rPr>
  </w:style>
  <w:style w:type="paragraph" w:styleId="39">
    <w:name w:val="No Spacing"/>
    <w:qFormat/>
    <w:uiPriority w:val="1"/>
    <w:pPr>
      <w:spacing w:after="0" w:line="240" w:lineRule="auto"/>
    </w:pPr>
    <w:rPr>
      <w:rFonts w:asciiTheme="minorHAnsi" w:hAnsiTheme="minorHAnsi" w:eastAsiaTheme="minorHAnsi" w:cstheme="minorBidi"/>
      <w:kern w:val="2"/>
      <w:sz w:val="24"/>
      <w:szCs w:val="24"/>
      <w:lang w:val="en-US" w:eastAsia="en-US" w:bidi="ar-SA"/>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12</Pages>
  <Words>317</Words>
  <Characters>1810</Characters>
  <Lines>15</Lines>
  <Paragraphs>4</Paragraphs>
  <TotalTime>7</TotalTime>
  <ScaleCrop>false</ScaleCrop>
  <LinksUpToDate>false</LinksUpToDate>
  <CharactersWithSpaces>2123</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2025-04-25T00:00:00Z</dcterms:created>
  <dc:creator>Kurian Katticaren</dc:creator>
  <cp:lastModifiedBy>Kurian Katticaren</cp:lastModifiedBy>
  <dcterms:modified xsi:type="dcterms:W3CDTF">2025-04-28T01:47:42Z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304D898F227D4E06BC811F678F41E904_13</vt:lpwstr>
  </property>
</Properties>
</file>