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c21e52116358edd914696647193e75595910d85"/>
    <w:p>
      <w:pPr>
        <w:pStyle w:val="Heading1"/>
      </w:pPr>
      <w:r>
        <w:t xml:space="preserve">ÍNDICE DETALLADO DE SUBAPARTADOS TÉCNICOS</w:t>
      </w:r>
    </w:p>
    <w:bookmarkStart w:id="20" w:name="Xde05fed2264a014e39e34cbfe66ec929a72e645"/>
    <w:p>
      <w:pPr>
        <w:pStyle w:val="Heading2"/>
      </w:pPr>
      <w:r>
        <w:t xml:space="preserve">LIBRO MAESTRO V2 — Comprar, Pedir Prestado, Morir</w:t>
      </w:r>
    </w:p>
    <w:p>
      <w:r>
        <w:pict>
          <v:rect style="width:0;height:1.5pt" o:hralign="center" o:hrstd="t" o:hr="t"/>
        </w:pict>
      </w:r>
    </w:p>
    <w:bookmarkEnd w:id="20"/>
    <w:bookmarkStart w:id="21" w:name="parte-i-los-dos-juegos"/>
    <w:p>
      <w:pPr>
        <w:pStyle w:val="Heading2"/>
      </w:pPr>
      <w:r>
        <w:t xml:space="preserve">PARTE I: LOS DOS JUEGOS</w:t>
      </w:r>
    </w:p>
    <w:p>
      <w:pPr>
        <w:pStyle w:val="FirstParagraph"/>
      </w:pPr>
      <w:r>
        <w:rPr>
          <w:b/>
          <w:bCs/>
        </w:rPr>
        <w:t xml:space="preserve">Capítulo 1: El juego en el que te metieron sin preguntarte</w:t>
      </w:r>
      <w:r>
        <w:t xml:space="preserve"> </w:t>
      </w:r>
      <w:r>
        <w:t xml:space="preserve">- ▶ La trampa del Juego de los Ingresos</w:t>
      </w:r>
    </w:p>
    <w:p>
      <w:pPr>
        <w:pStyle w:val="BodyText"/>
      </w:pPr>
      <w:r>
        <w:rPr>
          <w:b/>
          <w:bCs/>
        </w:rPr>
        <w:t xml:space="preserve">Capítulo 2: El otro juego</w:t>
      </w:r>
      <w:r>
        <w:t xml:space="preserve"> </w:t>
      </w:r>
      <w:r>
        <w:t xml:space="preserve">- La ganancia no realizada (definición conceptual)</w:t>
      </w:r>
      <w:r>
        <w:t xml:space="preserve"> </w:t>
      </w:r>
      <w:r>
        <w:t xml:space="preserve">- El principio fiscal universal: imposición nace del hecho imponible</w:t>
      </w:r>
    </w:p>
    <w:p>
      <w:pPr>
        <w:pStyle w:val="BodyText"/>
      </w:pPr>
      <w:r>
        <w:rPr>
          <w:b/>
          <w:bCs/>
        </w:rPr>
        <w:t xml:space="preserve">Capítulo 3: La ilusión del esfuerzo</w:t>
      </w:r>
      <w:r>
        <w:t xml:space="preserve"> </w:t>
      </w:r>
      <w:r>
        <w:t xml:space="preserve">- ▶ La paradoja del esfuerzo</w:t>
      </w:r>
    </w:p>
    <w:p>
      <w:r>
        <w:pict>
          <v:rect style="width:0;height:1.5pt" o:hralign="center" o:hrstd="t" o:hr="t"/>
        </w:pict>
      </w:r>
    </w:p>
    <w:bookmarkEnd w:id="21"/>
    <w:bookmarkStart w:id="22" w:name="parte-ii-comprar"/>
    <w:p>
      <w:pPr>
        <w:pStyle w:val="Heading2"/>
      </w:pPr>
      <w:r>
        <w:t xml:space="preserve">PARTE II: COMPRAR</w:t>
      </w:r>
    </w:p>
    <w:p>
      <w:pPr>
        <w:pStyle w:val="FirstParagraph"/>
      </w:pPr>
      <w:r>
        <w:rPr>
          <w:b/>
          <w:bCs/>
        </w:rPr>
        <w:t xml:space="preserve">Capítulo 4: Poseer sin vender</w:t>
      </w:r>
      <w:r>
        <w:t xml:space="preserve"> </w:t>
      </w:r>
      <w:r>
        <w:t xml:space="preserve">- Interés compuesto como motor exponencial</w:t>
      </w:r>
      <w:r>
        <w:t xml:space="preserve"> </w:t>
      </w:r>
      <w:r>
        <w:t xml:space="preserve">- Tabla de proyección: 100.000€ → 1.600.000€ en 40 años (7% anual)</w:t>
      </w:r>
    </w:p>
    <w:p>
      <w:pPr>
        <w:pStyle w:val="BodyText"/>
      </w:pPr>
      <w:r>
        <w:rPr>
          <w:b/>
          <w:bCs/>
        </w:rPr>
        <w:t xml:space="preserve">Capítulo 5: La riqueza invisible</w:t>
      </w:r>
      <w:r>
        <w:t xml:space="preserve"> </w:t>
      </w:r>
      <w:r>
        <w:t xml:space="preserve">- Caso ProPublica (2021): filtración IRS y tasas fiscales efectivas</w:t>
      </w:r>
      <w:r>
        <w:t xml:space="preserve"> </w:t>
      </w:r>
      <w:r>
        <w:t xml:space="preserve">- ▶ Ganancia no realizada: definición técnica</w:t>
      </w:r>
    </w:p>
    <w:p>
      <w:pPr>
        <w:pStyle w:val="BodyText"/>
      </w:pPr>
      <w:r>
        <w:rPr>
          <w:b/>
          <w:bCs/>
        </w:rPr>
        <w:t xml:space="preserve">Capítulo 6: La regla de oro: nunca vender</w:t>
      </w:r>
      <w:r>
        <w:t xml:space="preserve"> </w:t>
      </w:r>
      <w:r>
        <w:t xml:space="preserve">- Mecanismos de reorganización sin hecho imponible</w:t>
      </w:r>
      <w:r>
        <w:t xml:space="preserve"> </w:t>
      </w:r>
      <w:r>
        <w:t xml:space="preserve">- Estrategia de canjes, reestructuraciones, donaciones en especie</w:t>
      </w:r>
    </w:p>
    <w:p>
      <w:r>
        <w:pict>
          <v:rect style="width:0;height:1.5pt" o:hralign="center" o:hrstd="t" o:hr="t"/>
        </w:pict>
      </w:r>
    </w:p>
    <w:bookmarkEnd w:id="22"/>
    <w:bookmarkStart w:id="23" w:name="parte-iii-pedir-prestado"/>
    <w:p>
      <w:pPr>
        <w:pStyle w:val="Heading2"/>
      </w:pPr>
      <w:r>
        <w:t xml:space="preserve">PARTE III: PEDIR PRESTADO</w:t>
      </w:r>
    </w:p>
    <w:p>
      <w:pPr>
        <w:pStyle w:val="FirstParagraph"/>
      </w:pPr>
      <w:r>
        <w:rPr>
          <w:b/>
          <w:bCs/>
        </w:rPr>
        <w:t xml:space="preserve">Capítulo 7: La deuda como herramienta, no como amenaza</w:t>
      </w:r>
      <w:r>
        <w:t xml:space="preserve"> </w:t>
      </w:r>
      <w:r>
        <w:t xml:space="preserve">- ▶ Deuda destructiva vs. deuda productiva (tabla comparativa)</w:t>
      </w:r>
      <w:r>
        <w:t xml:space="preserve"> </w:t>
      </w:r>
      <w:r>
        <w:t xml:space="preserve">- Concepto clave: préstamo no es ingreso (fiscalidad invisible)</w:t>
      </w:r>
    </w:p>
    <w:p>
      <w:pPr>
        <w:pStyle w:val="BodyText"/>
      </w:pPr>
      <w:r>
        <w:rPr>
          <w:b/>
          <w:bCs/>
        </w:rPr>
        <w:t xml:space="preserve">Capítulo 8: Tu cartera como aval</w:t>
      </w:r>
      <w:r>
        <w:t xml:space="preserve"> </w:t>
      </w:r>
      <w:r>
        <w:t xml:space="preserve">- Securities-Based Lending / Lombard Loan (definición técnica)</w:t>
      </w:r>
      <w:r>
        <w:t xml:space="preserve"> </w:t>
      </w:r>
      <w:r>
        <w:t xml:space="preserve">- Rango LTV: 50-80% según tipo de activo</w:t>
      </w:r>
      <w:r>
        <w:t xml:space="preserve"> </w:t>
      </w:r>
      <w:r>
        <w:t xml:space="preserve">- Diferencial de crecimiento: 7% cartera vs. 2% interés</w:t>
      </w:r>
    </w:p>
    <w:p>
      <w:pPr>
        <w:pStyle w:val="BodyText"/>
      </w:pPr>
      <w:r>
        <w:rPr>
          <w:b/>
          <w:bCs/>
        </w:rPr>
        <w:t xml:space="preserve">Capítulo 9: El ciclo autosostenible</w:t>
      </w:r>
      <w:r>
        <w:t xml:space="preserve"> </w:t>
      </w:r>
      <w:r>
        <w:rPr>
          <w:i/>
          <w:iCs/>
        </w:rPr>
        <w:t xml:space="preserve">[EXPANDIDO - Técnico]</w:t>
      </w:r>
      <w:r>
        <w:t xml:space="preserve"> </w:t>
      </w:r>
      <w:r>
        <w:t xml:space="preserve">- ▶ LA MÁQUINA LOMBARD: CÓMO FUNCIONA EL PRÉSTAMO REAL</w:t>
      </w:r>
      <w:r>
        <w:t xml:space="preserve"> </w:t>
      </w:r>
      <w:r>
        <w:t xml:space="preserve">- Composición de cartera modelo: 60% índices / 30% blue-chips / 10% bonos</w:t>
      </w:r>
      <w:r>
        <w:t xml:space="preserve"> </w:t>
      </w:r>
      <w:r>
        <w:t xml:space="preserve">- Loan-to-Value (LTV) por tipo de activo:</w:t>
      </w:r>
      <w:r>
        <w:t xml:space="preserve"> </w:t>
      </w:r>
      <w:r>
        <w:t xml:space="preserve">- Índices globales: 70%</w:t>
      </w:r>
      <w:r>
        <w:t xml:space="preserve"> </w:t>
      </w:r>
      <w:r>
        <w:t xml:space="preserve">- Acciones individuales: 60%</w:t>
      </w:r>
      <w:r>
        <w:t xml:space="preserve"> </w:t>
      </w:r>
      <w:r>
        <w:t xml:space="preserve">- Bonos investment grade: 80%</w:t>
      </w:r>
      <w:r>
        <w:t xml:space="preserve"> </w:t>
      </w:r>
      <w:r>
        <w:t xml:space="preserve">- Fórmula de interés: Euribor 12m + 150pb (≈2,8%)</w:t>
      </w:r>
      <w:r>
        <w:t xml:space="preserve"> </w:t>
      </w:r>
      <w:r>
        <w:t xml:space="preserve">- Margin call threshold: LTV &gt; 85%</w:t>
      </w:r>
      <w:r>
        <w:t xml:space="preserve"> </w:t>
      </w:r>
      <w:r>
        <w:t xml:space="preserve">- LTV inicial conservador: 33,3% sobre 12M€</w:t>
      </w:r>
    </w:p>
    <w:p>
      <w:pPr>
        <w:pStyle w:val="Compact"/>
        <w:numPr>
          <w:ilvl w:val="0"/>
          <w:numId w:val="1001"/>
        </w:numPr>
      </w:pPr>
      <w:r>
        <w:t xml:space="preserve">▶ LA MATEMÁTICA DEL DIFERENCIAL: 7% VS 2,8%</w:t>
      </w:r>
    </w:p>
    <w:p>
      <w:pPr>
        <w:pStyle w:val="Compact"/>
        <w:numPr>
          <w:ilvl w:val="1"/>
          <w:numId w:val="1002"/>
        </w:numPr>
      </w:pPr>
      <w:r>
        <w:t xml:space="preserve">Cálculo de intereses anuales: 112.000€ sobre 4M€</w:t>
      </w:r>
    </w:p>
    <w:p>
      <w:pPr>
        <w:pStyle w:val="Compact"/>
        <w:numPr>
          <w:ilvl w:val="1"/>
          <w:numId w:val="1002"/>
        </w:numPr>
      </w:pPr>
      <w:r>
        <w:t xml:space="preserve">Cálculo de ganancia no realizada: 840.000€ sobre 12M€</w:t>
      </w:r>
    </w:p>
    <w:p>
      <w:pPr>
        <w:pStyle w:val="Compact"/>
        <w:numPr>
          <w:ilvl w:val="1"/>
          <w:numId w:val="1002"/>
        </w:numPr>
      </w:pPr>
      <w:r>
        <w:t xml:space="preserve">Resultado neto anual: +728.000€</w:t>
      </w:r>
    </w:p>
    <w:p>
      <w:pPr>
        <w:pStyle w:val="Compact"/>
        <w:numPr>
          <w:ilvl w:val="1"/>
          <w:numId w:val="1002"/>
        </w:numPr>
      </w:pPr>
      <w:r>
        <w:t xml:space="preserve">Impuestos pagados: 0€</w:t>
      </w:r>
    </w:p>
    <w:p>
      <w:pPr>
        <w:pStyle w:val="Compact"/>
        <w:numPr>
          <w:ilvl w:val="1"/>
          <w:numId w:val="1002"/>
        </w:numPr>
      </w:pPr>
      <w:r>
        <w:t xml:space="preserve">Mecánismo revolvente: préstamo paga intereses de sí mismo</w:t>
      </w:r>
    </w:p>
    <w:p>
      <w:pPr>
        <w:pStyle w:val="Compact"/>
        <w:numPr>
          <w:ilvl w:val="0"/>
          <w:numId w:val="1001"/>
        </w:numPr>
      </w:pPr>
      <w:r>
        <w:t xml:space="preserve">▶ POR QUÉ EL BANCO PREFIERE A RODRIGO ANTES QUE A CARLOS</w:t>
      </w:r>
    </w:p>
    <w:p>
      <w:pPr>
        <w:pStyle w:val="Compact"/>
        <w:numPr>
          <w:ilvl w:val="1"/>
          <w:numId w:val="1003"/>
        </w:numPr>
      </w:pPr>
      <w:r>
        <w:t xml:space="preserve">Tabla comparativa condiciones:</w:t>
      </w:r>
    </w:p>
    <w:p>
      <w:pPr>
        <w:pStyle w:val="Compact"/>
        <w:numPr>
          <w:ilvl w:val="2"/>
          <w:numId w:val="1004"/>
        </w:numPr>
      </w:pPr>
      <w:r>
        <w:t xml:space="preserve">Carlos: 8-12% TAE, 20-30k€ límite, 5-8 años, requiere nómina</w:t>
      </w:r>
    </w:p>
    <w:p>
      <w:pPr>
        <w:pStyle w:val="Compact"/>
        <w:numPr>
          <w:ilvl w:val="2"/>
          <w:numId w:val="1004"/>
        </w:numPr>
      </w:pPr>
      <w:r>
        <w:t xml:space="preserve">Rodrigo: 2,8% (Euribor+1,5%), 8,4M€ disponible, indefinido, requiere activos</w:t>
      </w:r>
    </w:p>
    <w:p>
      <w:pPr>
        <w:pStyle w:val="Compact"/>
        <w:numPr>
          <w:ilvl w:val="1"/>
          <w:numId w:val="1003"/>
        </w:numPr>
      </w:pPr>
      <w:r>
        <w:t xml:space="preserve">Razonamiento del banco:</w:t>
      </w:r>
      <w:r>
        <w:t xml:space="preserve"> </w:t>
      </w:r>
      <w:r>
        <w:t xml:space="preserve">“</w:t>
      </w:r>
      <w:r>
        <w:t xml:space="preserve">presta contra Rodrigo, no a Rodrigo</w:t>
      </w:r>
      <w:r>
        <w:t xml:space="preserve">”</w:t>
      </w:r>
    </w:p>
    <w:p>
      <w:pPr>
        <w:pStyle w:val="Compact"/>
        <w:numPr>
          <w:ilvl w:val="1"/>
          <w:numId w:val="1003"/>
        </w:numPr>
      </w:pPr>
      <w:r>
        <w:t xml:space="preserve">Tipología de clientes:</w:t>
      </w:r>
      <w:r>
        <w:t xml:space="preserve"> </w:t>
      </w:r>
      <w:r>
        <w:t xml:space="preserve">“</w:t>
      </w:r>
      <w:r>
        <w:t xml:space="preserve">cliente de vida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cliente de transacción</w:t>
      </w:r>
      <w:r>
        <w:t xml:space="preserve">”</w:t>
      </w:r>
    </w:p>
    <w:p>
      <w:pPr>
        <w:pStyle w:val="Compact"/>
        <w:numPr>
          <w:ilvl w:val="1"/>
          <w:numId w:val="1003"/>
        </w:numPr>
      </w:pPr>
      <w:r>
        <w:t xml:space="preserve">Escala LTV por calidad de colateral:</w:t>
      </w:r>
    </w:p>
    <w:p>
      <w:pPr>
        <w:pStyle w:val="Compact"/>
        <w:numPr>
          <w:ilvl w:val="2"/>
          <w:numId w:val="1005"/>
        </w:numPr>
      </w:pPr>
      <w:r>
        <w:t xml:space="preserve">Bonos soberanos DE/US: 90-95%</w:t>
      </w:r>
    </w:p>
    <w:p>
      <w:pPr>
        <w:pStyle w:val="Compact"/>
        <w:numPr>
          <w:ilvl w:val="2"/>
          <w:numId w:val="1005"/>
        </w:numPr>
      </w:pPr>
      <w:r>
        <w:t xml:space="preserve">Índices diversificados: 70-75%</w:t>
      </w:r>
    </w:p>
    <w:p>
      <w:pPr>
        <w:pStyle w:val="Compact"/>
        <w:numPr>
          <w:ilvl w:val="2"/>
          <w:numId w:val="1005"/>
        </w:numPr>
      </w:pPr>
      <w:r>
        <w:t xml:space="preserve">Blue-chip individual: 60-65%</w:t>
      </w:r>
    </w:p>
    <w:p>
      <w:pPr>
        <w:pStyle w:val="Compact"/>
        <w:numPr>
          <w:ilvl w:val="2"/>
          <w:numId w:val="1005"/>
        </w:numPr>
      </w:pPr>
      <w:r>
        <w:t xml:space="preserve">Small cap: 40-50%</w:t>
      </w:r>
    </w:p>
    <w:p>
      <w:pPr>
        <w:pStyle w:val="Compact"/>
        <w:numPr>
          <w:ilvl w:val="2"/>
          <w:numId w:val="1005"/>
        </w:numPr>
      </w:pPr>
      <w:r>
        <w:t xml:space="preserve">Criptoactivos: 20-30%</w:t>
      </w:r>
    </w:p>
    <w:p>
      <w:pPr>
        <w:pStyle w:val="Compact"/>
        <w:numPr>
          <w:ilvl w:val="0"/>
          <w:numId w:val="1001"/>
        </w:numPr>
      </w:pPr>
      <w:r>
        <w:t xml:space="preserve">▶ EL MARGIN CALL: EL RIESGO REAL</w:t>
      </w:r>
    </w:p>
    <w:p>
      <w:pPr>
        <w:pStyle w:val="Compact"/>
        <w:numPr>
          <w:ilvl w:val="1"/>
          <w:numId w:val="1006"/>
        </w:numPr>
      </w:pPr>
      <w:r>
        <w:t xml:space="preserve">Escenario de caída: LTV 93% si cartera cae a 9M€ (con 8,4M€ préstamo)</w:t>
      </w:r>
    </w:p>
    <w:p>
      <w:pPr>
        <w:pStyle w:val="Compact"/>
        <w:numPr>
          <w:ilvl w:val="1"/>
          <w:numId w:val="1006"/>
        </w:numPr>
      </w:pPr>
      <w:r>
        <w:t xml:space="preserve">Venta forzosa como generadora de hecho imponible</w:t>
      </w:r>
    </w:p>
    <w:p>
      <w:pPr>
        <w:pStyle w:val="Compact"/>
        <w:numPr>
          <w:ilvl w:val="1"/>
          <w:numId w:val="1006"/>
        </w:numPr>
      </w:pPr>
      <w:r>
        <w:t xml:space="preserve">Estrategia conservadora: LTV operativo 20-50% (nunca 70-80%)</w:t>
      </w:r>
    </w:p>
    <w:p>
      <w:pPr>
        <w:pStyle w:val="Compact"/>
        <w:numPr>
          <w:ilvl w:val="1"/>
          <w:numId w:val="1006"/>
        </w:numPr>
      </w:pPr>
      <w:r>
        <w:t xml:space="preserve">Colchón de seguridad para crisis del 30-50%</w:t>
      </w:r>
    </w:p>
    <w:p>
      <w:pPr>
        <w:pStyle w:val="Compact"/>
        <w:numPr>
          <w:ilvl w:val="0"/>
          <w:numId w:val="1001"/>
        </w:numPr>
      </w:pPr>
      <w:r>
        <w:t xml:space="preserve">▶ LA ESCALERA DE LOS TIPOS: CUÁNDO LA ESTRATEGIA DEJA DE FUNCIONAR</w:t>
      </w:r>
    </w:p>
    <w:p>
      <w:pPr>
        <w:pStyle w:val="Compact"/>
        <w:numPr>
          <w:ilvl w:val="1"/>
          <w:numId w:val="1007"/>
        </w:numPr>
      </w:pPr>
      <w:r>
        <w:t xml:space="preserve">Inversión del diferencial: tipos al 8% vs. rendimiento 5%</w:t>
      </w:r>
    </w:p>
    <w:p>
      <w:pPr>
        <w:pStyle w:val="Compact"/>
        <w:numPr>
          <w:ilvl w:val="1"/>
          <w:numId w:val="1007"/>
        </w:numPr>
      </w:pPr>
      <w:r>
        <w:t xml:space="preserve">Cuatro tácticas en entornos de tipos altos:</w:t>
      </w:r>
    </w:p>
    <w:p>
      <w:pPr>
        <w:pStyle w:val="Compact"/>
        <w:numPr>
          <w:ilvl w:val="2"/>
          <w:numId w:val="1008"/>
        </w:numPr>
      </w:pPr>
      <w:r>
        <w:t xml:space="preserve">Reducción LTV al 20-30%</w:t>
      </w:r>
    </w:p>
    <w:p>
      <w:pPr>
        <w:pStyle w:val="Compact"/>
        <w:numPr>
          <w:ilvl w:val="2"/>
          <w:numId w:val="1008"/>
        </w:numPr>
      </w:pPr>
      <w:r>
        <w:t xml:space="preserve">Acortar plazos / pagar intereses sin aumentar principal</w:t>
      </w:r>
    </w:p>
    <w:p>
      <w:pPr>
        <w:pStyle w:val="Compact"/>
        <w:numPr>
          <w:ilvl w:val="2"/>
          <w:numId w:val="1008"/>
        </w:numPr>
      </w:pPr>
      <w:r>
        <w:t xml:space="preserve">Pivot a activos beneficiados por tipos altos</w:t>
      </w:r>
    </w:p>
    <w:p>
      <w:pPr>
        <w:pStyle w:val="Compact"/>
        <w:numPr>
          <w:ilvl w:val="2"/>
          <w:numId w:val="1008"/>
        </w:numPr>
      </w:pPr>
      <w:r>
        <w:t xml:space="preserve">Capacidad de espera (opcionalidad patrimonial)</w:t>
      </w:r>
    </w:p>
    <w:p>
      <w:pPr>
        <w:pStyle w:val="Compact"/>
        <w:numPr>
          <w:ilvl w:val="0"/>
          <w:numId w:val="1001"/>
        </w:numPr>
      </w:pPr>
      <w:r>
        <w:t xml:space="preserve">▶ LA ÚLTIMA PIEZA: POR QUÉ ESTO ES LEGAL Y LO SEGUIRÁ SIENDO</w:t>
      </w:r>
    </w:p>
    <w:p>
      <w:pPr>
        <w:pStyle w:val="Compact"/>
        <w:numPr>
          <w:ilvl w:val="1"/>
          <w:numId w:val="1009"/>
        </w:numPr>
      </w:pPr>
      <w:r>
        <w:t xml:space="preserve">Argumento económico: gravar préstamos = colapso inmobiliario</w:t>
      </w:r>
    </w:p>
    <w:p>
      <w:pPr>
        <w:pStyle w:val="Compact"/>
        <w:numPr>
          <w:ilvl w:val="1"/>
          <w:numId w:val="1009"/>
        </w:numPr>
      </w:pPr>
      <w:r>
        <w:t xml:space="preserve">Argumento político: lobby y captura regulatoria</w:t>
      </w:r>
    </w:p>
    <w:p>
      <w:pPr>
        <w:pStyle w:val="Compact"/>
        <w:numPr>
          <w:ilvl w:val="1"/>
          <w:numId w:val="1009"/>
        </w:numPr>
      </w:pPr>
      <w:r>
        <w:t xml:space="preserve">Estrategia de acceso gradual: construcción de colateral</w:t>
      </w:r>
    </w:p>
    <w:p>
      <w:pPr>
        <w:pStyle w:val="FirstParagraph"/>
      </w:pPr>
      <w:r>
        <w:rPr>
          <w:b/>
          <w:bCs/>
        </w:rPr>
        <w:t xml:space="preserve">Capítulo 10: Lo que los bancos saben y tú no</w:t>
      </w:r>
      <w:r>
        <w:t xml:space="preserve"> </w:t>
      </w:r>
      <w:r>
        <w:t xml:space="preserve">- Razonamiento bancario sobre riesgo de impago</w:t>
      </w:r>
      <w:r>
        <w:t xml:space="preserve"> </w:t>
      </w:r>
      <w:r>
        <w:t xml:space="preserve">- Proporcionalidad crédito-patrimonio</w:t>
      </w:r>
      <w:r>
        <w:t xml:space="preserve"> </w:t>
      </w:r>
      <w:r>
        <w:t xml:space="preserve">- Círculo virtuoso vs. círculo vicioso</w:t>
      </w:r>
    </w:p>
    <w:p>
      <w:r>
        <w:pict>
          <v:rect style="width:0;height:1.5pt" o:hralign="center" o:hrstd="t" o:hr="t"/>
        </w:pict>
      </w:r>
    </w:p>
    <w:bookmarkEnd w:id="23"/>
    <w:bookmarkStart w:id="24" w:name="parte-iv-morir"/>
    <w:p>
      <w:pPr>
        <w:pStyle w:val="Heading2"/>
      </w:pPr>
      <w:r>
        <w:t xml:space="preserve">PARTE IV: MORIR</w:t>
      </w:r>
    </w:p>
    <w:p>
      <w:pPr>
        <w:pStyle w:val="FirstParagraph"/>
      </w:pPr>
      <w:r>
        <w:rPr>
          <w:b/>
          <w:bCs/>
        </w:rPr>
        <w:t xml:space="preserve">Capítulo 11: El último truco fiscal</w:t>
      </w:r>
      <w:r>
        <w:t xml:space="preserve"> </w:t>
      </w:r>
      <w:r>
        <w:rPr>
          <w:i/>
          <w:iCs/>
        </w:rPr>
        <w:t xml:space="preserve">[EXPANDIDO - Técnico]</w:t>
      </w:r>
      <w:r>
        <w:t xml:space="preserve"> </w:t>
      </w:r>
      <w:r>
        <w:t xml:space="preserve">- ▶ Ejemplo del step-up in basis (básico)</w:t>
      </w:r>
      <w:r>
        <w:t xml:space="preserve"> </w:t>
      </w:r>
      <w:r>
        <w:t xml:space="preserve">- ▶ LA MAGIA DEL RESET: CÓMO EL STEP-UP ELIMINA DÉCADAS DE IMPUESTOS</w:t>
      </w:r>
      <w:r>
        <w:t xml:space="preserve"> </w:t>
      </w:r>
      <w:r>
        <w:t xml:space="preserve">- Evolución patrimonial modelo (40 años):</w:t>
      </w:r>
      <w:r>
        <w:t xml:space="preserve"> </w:t>
      </w:r>
      <w:r>
        <w:t xml:space="preserve">- Año 0: 2.000.000€</w:t>
      </w:r>
      <w:r>
        <w:t xml:space="preserve"> </w:t>
      </w:r>
      <w:r>
        <w:t xml:space="preserve">- Año 10: 3.900.000€</w:t>
      </w:r>
      <w:r>
        <w:t xml:space="preserve"> </w:t>
      </w:r>
      <w:r>
        <w:t xml:space="preserve">- Año 20: 7.700.000€</w:t>
      </w:r>
      <w:r>
        <w:t xml:space="preserve"> </w:t>
      </w:r>
      <w:r>
        <w:t xml:space="preserve">- Año 30: 15.200.000€</w:t>
      </w:r>
      <w:r>
        <w:t xml:space="preserve"> </w:t>
      </w:r>
      <w:r>
        <w:t xml:space="preserve">- Año 40: 29.900.000€</w:t>
      </w:r>
      <w:r>
        <w:t xml:space="preserve"> </w:t>
      </w:r>
      <w:r>
        <w:t xml:space="preserve">- Ganancia latente acumulada: 27.900.000€</w:t>
      </w:r>
      <w:r>
        <w:t xml:space="preserve"> </w:t>
      </w:r>
      <w:r>
        <w:t xml:space="preserve">- Impuestos evitados (España): 5-7M€</w:t>
      </w:r>
      <w:r>
        <w:t xml:space="preserve"> </w:t>
      </w:r>
      <w:r>
        <w:t xml:space="preserve">- Base fiscal reseteada: 29.900.000€ (en lugar de 2.000.000€)</w:t>
      </w:r>
    </w:p>
    <w:p>
      <w:pPr>
        <w:pStyle w:val="Compact"/>
        <w:numPr>
          <w:ilvl w:val="0"/>
          <w:numId w:val="1010"/>
        </w:numPr>
      </w:pPr>
      <w:r>
        <w:t xml:space="preserve">▶ RODRIGO VS CARLOS: LA HERENCIA QUE NO ES IGUAL</w:t>
      </w:r>
    </w:p>
    <w:p>
      <w:pPr>
        <w:pStyle w:val="Compact"/>
        <w:numPr>
          <w:ilvl w:val="1"/>
          <w:numId w:val="1011"/>
        </w:numPr>
      </w:pPr>
      <w:r>
        <w:t xml:space="preserve">Herencia Carlos (padre trabajador):</w:t>
      </w:r>
    </w:p>
    <w:p>
      <w:pPr>
        <w:pStyle w:val="Compact"/>
        <w:numPr>
          <w:ilvl w:val="2"/>
          <w:numId w:val="1012"/>
        </w:numPr>
      </w:pPr>
      <w:r>
        <w:t xml:space="preserve">Activo: 255.000€ bruto</w:t>
      </w:r>
    </w:p>
    <w:p>
      <w:pPr>
        <w:pStyle w:val="Compact"/>
        <w:numPr>
          <w:ilvl w:val="2"/>
          <w:numId w:val="1012"/>
        </w:numPr>
      </w:pPr>
      <w:r>
        <w:t xml:space="preserve">Impuestos: ~66.750€ (plusvalías inmobiliarias + fondos + Sucesiones)</w:t>
      </w:r>
    </w:p>
    <w:p>
      <w:pPr>
        <w:pStyle w:val="Compact"/>
        <w:numPr>
          <w:ilvl w:val="2"/>
          <w:numId w:val="1012"/>
        </w:numPr>
      </w:pPr>
      <w:r>
        <w:t xml:space="preserve">Neto heredado: 188.250€</w:t>
      </w:r>
    </w:p>
    <w:p>
      <w:pPr>
        <w:pStyle w:val="Compact"/>
        <w:numPr>
          <w:ilvl w:val="1"/>
          <w:numId w:val="1011"/>
        </w:numPr>
      </w:pPr>
      <w:r>
        <w:t xml:space="preserve">Herencia Rodrigo (padre inversor):</w:t>
      </w:r>
    </w:p>
    <w:p>
      <w:pPr>
        <w:pStyle w:val="Compact"/>
        <w:numPr>
          <w:ilvl w:val="2"/>
          <w:numId w:val="1013"/>
        </w:numPr>
      </w:pPr>
      <w:r>
        <w:t xml:space="preserve">Activos brutos: 33.400.000€</w:t>
      </w:r>
    </w:p>
    <w:p>
      <w:pPr>
        <w:pStyle w:val="Compact"/>
        <w:numPr>
          <w:ilvl w:val="2"/>
          <w:numId w:val="1013"/>
        </w:numPr>
      </w:pPr>
      <w:r>
        <w:t xml:space="preserve">Deuda Lombard: 8.000.000€</w:t>
      </w:r>
    </w:p>
    <w:p>
      <w:pPr>
        <w:pStyle w:val="Compact"/>
        <w:numPr>
          <w:ilvl w:val="2"/>
          <w:numId w:val="1013"/>
        </w:numPr>
      </w:pPr>
      <w:r>
        <w:t xml:space="preserve">Patrimonio neto: 25.400.000€</w:t>
      </w:r>
    </w:p>
    <w:p>
      <w:pPr>
        <w:pStyle w:val="Compact"/>
        <w:numPr>
          <w:ilvl w:val="2"/>
          <w:numId w:val="1013"/>
        </w:numPr>
      </w:pPr>
      <w:r>
        <w:t xml:space="preserve">Plusvalías históricas: 0€ impuestos (step-up)</w:t>
      </w:r>
    </w:p>
    <w:p>
      <w:pPr>
        <w:pStyle w:val="Compact"/>
        <w:numPr>
          <w:ilvl w:val="2"/>
          <w:numId w:val="1013"/>
        </w:numPr>
      </w:pPr>
      <w:r>
        <w:t xml:space="preserve">Propiedad con step-up: 3.500.000€</w:t>
      </w:r>
    </w:p>
    <w:p>
      <w:pPr>
        <w:pStyle w:val="Compact"/>
        <w:numPr>
          <w:ilvl w:val="2"/>
          <w:numId w:val="1013"/>
        </w:numPr>
      </w:pPr>
      <w:r>
        <w:t xml:space="preserve">Préstamo deducible de base imponible Sucesiones</w:t>
      </w:r>
    </w:p>
    <w:p>
      <w:pPr>
        <w:pStyle w:val="Compact"/>
        <w:numPr>
          <w:ilvl w:val="0"/>
          <w:numId w:val="1010"/>
        </w:numPr>
      </w:pPr>
      <w:r>
        <w:t xml:space="preserve">▶ INGENIERÍA DE SUCESIONES: LA DEUDA QUE SE PAGA SOLA</w:t>
      </w:r>
    </w:p>
    <w:p>
      <w:pPr>
        <w:pStyle w:val="Compact"/>
        <w:numPr>
          <w:ilvl w:val="1"/>
          <w:numId w:val="1014"/>
        </w:numPr>
      </w:pPr>
      <w:r>
        <w:t xml:space="preserve">Opción A (ingenua): Vender activos para pagar deuda</w:t>
      </w:r>
    </w:p>
    <w:p>
      <w:pPr>
        <w:pStyle w:val="Compact"/>
        <w:numPr>
          <w:ilvl w:val="1"/>
          <w:numId w:val="1014"/>
        </w:numPr>
      </w:pPr>
      <w:r>
        <w:t xml:space="preserve">Opción B (estratégica): Refinanciar y mantener activos</w:t>
      </w:r>
    </w:p>
    <w:p>
      <w:pPr>
        <w:pStyle w:val="Compact"/>
        <w:numPr>
          <w:ilvl w:val="1"/>
          <w:numId w:val="1014"/>
        </w:numPr>
      </w:pPr>
      <w:r>
        <w:t xml:space="preserve">Proyección generacional:</w:t>
      </w:r>
    </w:p>
    <w:p>
      <w:pPr>
        <w:pStyle w:val="Compact"/>
        <w:numPr>
          <w:ilvl w:val="2"/>
          <w:numId w:val="1015"/>
        </w:numPr>
      </w:pPr>
      <w:r>
        <w:t xml:space="preserve">Año 1 herencia: Intereses 224.000€ / Crecimiento 2.093.000€</w:t>
      </w:r>
    </w:p>
    <w:p>
      <w:pPr>
        <w:pStyle w:val="Compact"/>
        <w:numPr>
          <w:ilvl w:val="2"/>
          <w:numId w:val="1015"/>
        </w:numPr>
      </w:pPr>
      <w:r>
        <w:t xml:space="preserve">Resultado neto: +1.869.000€</w:t>
      </w:r>
    </w:p>
    <w:p>
      <w:pPr>
        <w:pStyle w:val="Compact"/>
        <w:numPr>
          <w:ilvl w:val="2"/>
          <w:numId w:val="1015"/>
        </w:numPr>
      </w:pPr>
      <w:r>
        <w:t xml:space="preserve">Proyección 20 años: 115.000.000€</w:t>
      </w:r>
    </w:p>
    <w:p>
      <w:pPr>
        <w:pStyle w:val="Compact"/>
        <w:numPr>
          <w:ilvl w:val="2"/>
          <w:numId w:val="1015"/>
        </w:numPr>
      </w:pPr>
      <w:r>
        <w:t xml:space="preserve">Multiplicador: 4.5x sin impuestos plusvalías</w:t>
      </w:r>
    </w:p>
    <w:p>
      <w:pPr>
        <w:pStyle w:val="Compact"/>
        <w:numPr>
          <w:ilvl w:val="0"/>
          <w:numId w:val="1010"/>
        </w:numPr>
      </w:pPr>
      <w:r>
        <w:t xml:space="preserve">▶ LA BASE IMPONIBLE PARALELO: ESPAÑA VS ESTADOS UNIDOS</w:t>
      </w:r>
    </w:p>
    <w:p>
      <w:pPr>
        <w:pStyle w:val="Compact"/>
        <w:numPr>
          <w:ilvl w:val="1"/>
          <w:numId w:val="1016"/>
        </w:numPr>
      </w:pPr>
      <w:r>
        <w:t xml:space="preserve">Sistema USA:</w:t>
      </w:r>
    </w:p>
    <w:p>
      <w:pPr>
        <w:pStyle w:val="Compact"/>
        <w:numPr>
          <w:ilvl w:val="2"/>
          <w:numId w:val="1017"/>
        </w:numPr>
      </w:pPr>
      <w:r>
        <w:t xml:space="preserve">Step-up in basis: Completo</w:t>
      </w:r>
    </w:p>
    <w:p>
      <w:pPr>
        <w:pStyle w:val="Compact"/>
        <w:numPr>
          <w:ilvl w:val="2"/>
          <w:numId w:val="1017"/>
        </w:numPr>
      </w:pPr>
      <w:r>
        <w:t xml:space="preserve">Exención Sucesiones federal: &gt;12,9M$ (2023)</w:t>
      </w:r>
    </w:p>
    <w:p>
      <w:pPr>
        <w:pStyle w:val="Compact"/>
        <w:numPr>
          <w:ilvl w:val="2"/>
          <w:numId w:val="1017"/>
        </w:numPr>
      </w:pPr>
      <w:r>
        <w:t xml:space="preserve">Tasa máxima Sucesiones: 40%</w:t>
      </w:r>
    </w:p>
    <w:p>
      <w:pPr>
        <w:pStyle w:val="Compact"/>
        <w:numPr>
          <w:ilvl w:val="2"/>
          <w:numId w:val="1017"/>
        </w:numPr>
      </w:pPr>
      <w:r>
        <w:t xml:space="preserve">Resultado 50M$: ~14,8M Sucesiones, 0 plusvalías históricas</w:t>
      </w:r>
    </w:p>
    <w:p>
      <w:pPr>
        <w:pStyle w:val="Compact"/>
        <w:numPr>
          <w:ilvl w:val="1"/>
          <w:numId w:val="1016"/>
        </w:numPr>
      </w:pPr>
      <w:r>
        <w:t xml:space="preserve">Sistema España:</w:t>
      </w:r>
    </w:p>
    <w:p>
      <w:pPr>
        <w:pStyle w:val="Compact"/>
        <w:numPr>
          <w:ilvl w:val="2"/>
          <w:numId w:val="1018"/>
        </w:numPr>
      </w:pPr>
      <w:r>
        <w:t xml:space="preserve">Step-up limitado/no equivalente para todos activos</w:t>
      </w:r>
    </w:p>
    <w:p>
      <w:pPr>
        <w:pStyle w:val="Compact"/>
        <w:numPr>
          <w:ilvl w:val="2"/>
          <w:numId w:val="1018"/>
        </w:numPr>
      </w:pPr>
      <w:r>
        <w:t xml:space="preserve">Sucesiones desde primer euro (CCAA)</w:t>
      </w:r>
    </w:p>
    <w:p>
      <w:pPr>
        <w:pStyle w:val="Compact"/>
        <w:numPr>
          <w:ilvl w:val="2"/>
          <w:numId w:val="1018"/>
        </w:numPr>
      </w:pPr>
      <w:r>
        <w:t xml:space="preserve">Plusvalías latentes: sujeto a tributación diferida</w:t>
      </w:r>
    </w:p>
    <w:p>
      <w:pPr>
        <w:pStyle w:val="Compact"/>
        <w:numPr>
          <w:ilvl w:val="1"/>
          <w:numId w:val="1016"/>
        </w:numPr>
      </w:pPr>
      <w:r>
        <w:t xml:space="preserve">Planificación fiscal internacional:</w:t>
      </w:r>
    </w:p>
    <w:p>
      <w:pPr>
        <w:pStyle w:val="Compact"/>
        <w:numPr>
          <w:ilvl w:val="2"/>
          <w:numId w:val="1019"/>
        </w:numPr>
      </w:pPr>
      <w:r>
        <w:t xml:space="preserve">Fondos Luxemburgo</w:t>
      </w:r>
    </w:p>
    <w:p>
      <w:pPr>
        <w:pStyle w:val="Compact"/>
        <w:numPr>
          <w:ilvl w:val="2"/>
          <w:numId w:val="1019"/>
        </w:numPr>
      </w:pPr>
      <w:r>
        <w:t xml:space="preserve">Trusts Canadá</w:t>
      </w:r>
    </w:p>
    <w:p>
      <w:pPr>
        <w:pStyle w:val="Compact"/>
        <w:numPr>
          <w:ilvl w:val="2"/>
          <w:numId w:val="1019"/>
        </w:numPr>
      </w:pPr>
      <w:r>
        <w:t xml:space="preserve">Estructuras holandesas + LLC americana</w:t>
      </w:r>
    </w:p>
    <w:p>
      <w:pPr>
        <w:pStyle w:val="Compact"/>
        <w:numPr>
          <w:ilvl w:val="2"/>
          <w:numId w:val="1019"/>
        </w:numPr>
      </w:pPr>
      <w:r>
        <w:t xml:space="preserve">Optimización de marco aplicable</w:t>
      </w:r>
    </w:p>
    <w:p>
      <w:pPr>
        <w:pStyle w:val="Compact"/>
        <w:numPr>
          <w:ilvl w:val="0"/>
          <w:numId w:val="1010"/>
        </w:numPr>
      </w:pPr>
      <w:r>
        <w:t xml:space="preserve">▶ LA ÚLTIMA TRANSFERENCIA: CUÁNDO MORIR NO ES EL FINAL, ES EL RESET</w:t>
      </w:r>
    </w:p>
    <w:p>
      <w:pPr>
        <w:pStyle w:val="Compact"/>
        <w:numPr>
          <w:ilvl w:val="1"/>
          <w:numId w:val="1020"/>
        </w:numPr>
      </w:pPr>
      <w:r>
        <w:t xml:space="preserve">Crítica al argumento oficial: Sucesiones grava valor futuro, no pasado</w:t>
      </w:r>
    </w:p>
    <w:p>
      <w:pPr>
        <w:pStyle w:val="Compact"/>
        <w:numPr>
          <w:ilvl w:val="1"/>
          <w:numId w:val="1020"/>
        </w:numPr>
      </w:pPr>
      <w:r>
        <w:t xml:space="preserve">Ciclo de perpetuación del no-pago:</w:t>
      </w:r>
    </w:p>
    <w:p>
      <w:pPr>
        <w:pStyle w:val="Compact"/>
        <w:numPr>
          <w:ilvl w:val="2"/>
          <w:numId w:val="1021"/>
        </w:numPr>
      </w:pPr>
      <w:r>
        <w:t xml:space="preserve">Herederos no venden (regla de no-venta)</w:t>
      </w:r>
    </w:p>
    <w:p>
      <w:pPr>
        <w:pStyle w:val="Compact"/>
        <w:numPr>
          <w:ilvl w:val="2"/>
          <w:numId w:val="1021"/>
        </w:numPr>
      </w:pPr>
      <w:r>
        <w:t xml:space="preserve">Refinancian deuda del padre</w:t>
      </w:r>
    </w:p>
    <w:p>
      <w:pPr>
        <w:pStyle w:val="Compact"/>
        <w:numPr>
          <w:ilvl w:val="2"/>
          <w:numId w:val="1021"/>
        </w:numPr>
      </w:pPr>
      <w:r>
        <w:t xml:space="preserve">Acumulan deuda propia</w:t>
      </w:r>
    </w:p>
    <w:p>
      <w:pPr>
        <w:pStyle w:val="Compact"/>
        <w:numPr>
          <w:ilvl w:val="2"/>
          <w:numId w:val="1021"/>
        </w:numPr>
      </w:pPr>
      <w:r>
        <w:t xml:space="preserve">Transmiten con nuevo step-up</w:t>
      </w:r>
    </w:p>
    <w:p>
      <w:pPr>
        <w:pStyle w:val="Compact"/>
        <w:numPr>
          <w:ilvl w:val="1"/>
          <w:numId w:val="1020"/>
        </w:numPr>
      </w:pPr>
      <w:r>
        <w:t xml:space="preserve">Plusvalía fiscalmente</w:t>
      </w:r>
      <w:r>
        <w:t xml:space="preserve"> </w:t>
      </w:r>
      <w:r>
        <w:t xml:space="preserve">“</w:t>
      </w:r>
      <w:r>
        <w:t xml:space="preserve">perdonada</w:t>
      </w:r>
      <w:r>
        <w:t xml:space="preserve">”</w:t>
      </w:r>
      <w:r>
        <w:t xml:space="preserve"> </w:t>
      </w:r>
      <w:r>
        <w:t xml:space="preserve">nunca cobrada</w:t>
      </w:r>
    </w:p>
    <w:p>
      <w:pPr>
        <w:pStyle w:val="Compact"/>
        <w:numPr>
          <w:ilvl w:val="1"/>
          <w:numId w:val="1020"/>
        </w:numPr>
      </w:pPr>
      <w:r>
        <w:t xml:space="preserve">Estructura vs. evasión</w:t>
      </w:r>
    </w:p>
    <w:p>
      <w:pPr>
        <w:pStyle w:val="Compact"/>
        <w:numPr>
          <w:ilvl w:val="0"/>
          <w:numId w:val="1010"/>
        </w:numPr>
      </w:pPr>
      <w:r>
        <w:t xml:space="preserve">▶ EL CIERRE DEL CÍRCULO: CÓMO NACE UNA DINASTÍA</w:t>
      </w:r>
    </w:p>
    <w:p>
      <w:pPr>
        <w:pStyle w:val="Compact"/>
        <w:numPr>
          <w:ilvl w:val="1"/>
          <w:numId w:val="1022"/>
        </w:numPr>
      </w:pPr>
      <w:r>
        <w:t xml:space="preserve">Generación 1: 2M€ → 29,9M€ (40 años)</w:t>
      </w:r>
    </w:p>
    <w:p>
      <w:pPr>
        <w:pStyle w:val="Compact"/>
        <w:numPr>
          <w:ilvl w:val="1"/>
          <w:numId w:val="1022"/>
        </w:numPr>
      </w:pPr>
      <w:r>
        <w:t xml:space="preserve">Generación 2: 29,9M€ → 80M€ (30 años, nuevo step-up)</w:t>
      </w:r>
    </w:p>
    <w:p>
      <w:pPr>
        <w:pStyle w:val="Compact"/>
        <w:numPr>
          <w:ilvl w:val="1"/>
          <w:numId w:val="1022"/>
        </w:numPr>
      </w:pPr>
      <w:r>
        <w:t xml:space="preserve">Generación 3: 80M€ base → continuación</w:t>
      </w:r>
    </w:p>
    <w:p>
      <w:pPr>
        <w:pStyle w:val="Compact"/>
        <w:numPr>
          <w:ilvl w:val="1"/>
          <w:numId w:val="1022"/>
        </w:numPr>
      </w:pPr>
      <w:r>
        <w:t xml:space="preserve">Multiplicador 3 generaciones: 2M€ → 80M€ (40x)</w:t>
      </w:r>
    </w:p>
    <w:p>
      <w:pPr>
        <w:pStyle w:val="Compact"/>
        <w:numPr>
          <w:ilvl w:val="1"/>
          <w:numId w:val="1022"/>
        </w:numPr>
      </w:pPr>
      <w:r>
        <w:t xml:space="preserve">Impuestos plusvalías totales: 0€</w:t>
      </w:r>
    </w:p>
    <w:p>
      <w:pPr>
        <w:pStyle w:val="Compact"/>
        <w:numPr>
          <w:ilvl w:val="1"/>
          <w:numId w:val="1022"/>
        </w:numPr>
      </w:pPr>
      <w:r>
        <w:t xml:space="preserve">Impuestos Sucesiones: fracción mínima vs. patrimonio real</w:t>
      </w:r>
    </w:p>
    <w:p>
      <w:pPr>
        <w:pStyle w:val="FirstParagraph"/>
      </w:pPr>
      <w:r>
        <w:rPr>
          <w:b/>
          <w:bCs/>
        </w:rPr>
        <w:t xml:space="preserve">Capítulo 12: La herencia limpia</w:t>
      </w:r>
      <w:r>
        <w:t xml:space="preserve"> </w:t>
      </w:r>
      <w:r>
        <w:t xml:space="preserve">- Cálculo de ahorro intergeneracional</w:t>
      </w:r>
      <w:r>
        <w:t xml:space="preserve"> </w:t>
      </w:r>
      <w:r>
        <w:t xml:space="preserve">- Proyección escenario España: 8-12M€ ahorrados</w:t>
      </w:r>
    </w:p>
    <w:p>
      <w:pPr>
        <w:pStyle w:val="BodyText"/>
      </w:pPr>
      <w:r>
        <w:rPr>
          <w:b/>
          <w:bCs/>
        </w:rPr>
        <w:t xml:space="preserve">Capítulo 13: El diseño no es accidental</w:t>
      </w:r>
      <w:r>
        <w:t xml:space="preserve"> </w:t>
      </w:r>
      <w:r>
        <w:t xml:space="preserve">- ▶ La pregunta que incomoda</w:t>
      </w:r>
      <w:r>
        <w:t xml:space="preserve"> </w:t>
      </w:r>
      <w:r>
        <w:t xml:space="preserve">- Captura regulatoria y lobbying fiscal</w:t>
      </w:r>
      <w:r>
        <w:t xml:space="preserve"> </w:t>
      </w:r>
      <w:r>
        <w:t xml:space="preserve">- Conspiración vs. consecuencia acumulada</w:t>
      </w:r>
    </w:p>
    <w:p>
      <w:r>
        <w:pict>
          <v:rect style="width:0;height:1.5pt" o:hralign="center" o:hrstd="t" o:hr="t"/>
        </w:pict>
      </w:r>
    </w:p>
    <w:bookmarkEnd w:id="24"/>
    <w:bookmarkStart w:id="25" w:name="parte-v-y-ahora-qué"/>
    <w:p>
      <w:pPr>
        <w:pStyle w:val="Heading2"/>
      </w:pPr>
      <w:r>
        <w:t xml:space="preserve">PARTE V: ¿Y AHORA QUÉ?</w:t>
      </w:r>
    </w:p>
    <w:p>
      <w:pPr>
        <w:pStyle w:val="FirstParagraph"/>
      </w:pPr>
      <w:r>
        <w:rPr>
          <w:b/>
          <w:bCs/>
        </w:rPr>
        <w:t xml:space="preserve">Capítulo 14: ¿Puedo jugar yo también?</w:t>
      </w:r>
      <w:r>
        <w:t xml:space="preserve"> </w:t>
      </w:r>
      <w:r>
        <w:t xml:space="preserve">- Para patrimonios de 0 a 50.000 euros</w:t>
      </w:r>
      <w:r>
        <w:t xml:space="preserve"> </w:t>
      </w:r>
      <w:r>
        <w:t xml:space="preserve">- Para patrimonios de 50.000 a 500.000 euros</w:t>
      </w:r>
      <w:r>
        <w:t xml:space="preserve"> </w:t>
      </w:r>
      <w:r>
        <w:t xml:space="preserve">- Para patrimonios superiores a 500.000 euros</w:t>
      </w:r>
    </w:p>
    <w:p>
      <w:pPr>
        <w:pStyle w:val="BodyText"/>
      </w:pPr>
      <w:r>
        <w:rPr>
          <w:b/>
          <w:bCs/>
        </w:rPr>
        <w:t xml:space="preserve">Capítulo 15: El debate moral</w:t>
      </w:r>
      <w:r>
        <w:t xml:space="preserve"> </w:t>
      </w:r>
      <w:r>
        <w:t xml:space="preserve">- ▶ La pregunta que cada lector debe responder</w:t>
      </w:r>
    </w:p>
    <w:p>
      <w:pPr>
        <w:pStyle w:val="BodyText"/>
      </w:pPr>
      <w:r>
        <w:rPr>
          <w:b/>
          <w:bCs/>
        </w:rPr>
        <w:t xml:space="preserve">Capítulo 16: Rediseña tu tablero</w:t>
      </w:r>
      <w:r>
        <w:t xml:space="preserve"> </w:t>
      </w:r>
      <w:r>
        <w:t xml:space="preserve">- Paso 1: Audita tu situación actual</w:t>
      </w:r>
      <w:r>
        <w:t xml:space="preserve"> </w:t>
      </w:r>
      <w:r>
        <w:t xml:space="preserve">- Paso 2: Cambia la métrica</w:t>
      </w:r>
      <w:r>
        <w:t xml:space="preserve"> </w:t>
      </w:r>
      <w:r>
        <w:t xml:space="preserve">- Paso 3: Minimiza las fricciones fiscales</w:t>
      </w:r>
      <w:r>
        <w:t xml:space="preserve"> </w:t>
      </w:r>
      <w:r>
        <w:t xml:space="preserve">- Paso 4: Edúcate en planificación patrimonial</w:t>
      </w:r>
    </w:p>
    <w:p>
      <w:r>
        <w:pict>
          <v:rect style="width:0;height:1.5pt" o:hralign="center" o:hrstd="t" o:hr="t"/>
        </w:pict>
      </w:r>
    </w:p>
    <w:bookmarkEnd w:id="25"/>
    <w:bookmarkStart w:id="26" w:name="apéndices"/>
    <w:p>
      <w:pPr>
        <w:pStyle w:val="Heading2"/>
      </w:pPr>
      <w:r>
        <w:t xml:space="preserve">APÉNDICES</w:t>
      </w:r>
    </w:p>
    <w:p>
      <w:pPr>
        <w:pStyle w:val="FirstParagraph"/>
      </w:pPr>
      <w:r>
        <w:rPr>
          <w:b/>
          <w:bCs/>
        </w:rPr>
        <w:t xml:space="preserve">APÉNDICE I: Glosario de términos esenciales</w:t>
      </w:r>
      <w:r>
        <w:t xml:space="preserve"> </w:t>
      </w:r>
      <w:r>
        <w:t xml:space="preserve">- 9 definiciones técnicas fundacionales</w:t>
      </w:r>
    </w:p>
    <w:p>
      <w:pPr>
        <w:pStyle w:val="BodyText"/>
      </w:pPr>
      <w:r>
        <w:rPr>
          <w:b/>
          <w:bCs/>
        </w:rPr>
        <w:t xml:space="preserve">APÉNDICE II: Los dos juegos: tabla comparativa</w:t>
      </w:r>
      <w:r>
        <w:t xml:space="preserve"> </w:t>
      </w:r>
      <w:r>
        <w:t xml:space="preserve">- Juego de los Ingresos (7 parámetros)</w:t>
      </w:r>
      <w:r>
        <w:t xml:space="preserve"> </w:t>
      </w:r>
      <w:r>
        <w:t xml:space="preserve">- Juego de la Riqueza (7 parámetros)</w:t>
      </w:r>
    </w:p>
    <w:p>
      <w:r>
        <w:pict>
          <v:rect style="width:0;height:1.5pt" o:hralign="center" o:hrstd="t" o:hr="t"/>
        </w:pict>
      </w:r>
    </w:p>
    <w:bookmarkEnd w:id="26"/>
    <w:bookmarkStart w:id="27" w:name="subapartados-técnicos-añadidos-v2"/>
    <w:p>
      <w:pPr>
        <w:pStyle w:val="Heading2"/>
      </w:pPr>
      <w:r>
        <w:t xml:space="preserve">SUBAPARTADOS TÉCNICOS AÑADIDOS (V2)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Capítulo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Subapartado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Páginas equivalentes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MÁQUINA LOMBARD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 páginas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MATEMÁTICA DEL DIFERENCIAL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~1.5 páginas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QUÉ EL BANCO PREFIERE A RODRIGO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 páginas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MARGIN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página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ESCALERA DE LOS TIPOS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~1.5 páginas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ÚLTIMA PIEZA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página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MAGIA DEL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~1.5 páginas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RODRIGO VS CARLOS: LA HERENCIA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 páginas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INGENIERÍA DE SUCESIONES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 páginas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BASE IMPONIBLE PARALELO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~1.5 páginas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ÚLTIMA TRANSFERENCIA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~1.5 páginas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CIERRE DEL CÍRCULO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~1.5 páginas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 subapartados técnicos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~18 páginas nuevas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conceptos-clave-indexados"/>
    <w:p>
      <w:pPr>
        <w:pStyle w:val="Heading2"/>
      </w:pPr>
      <w:r>
        <w:t xml:space="preserve">CONCEPTOS CLAVE INDEXADOS</w:t>
      </w:r>
    </w:p>
    <w:p>
      <w:pPr>
        <w:pStyle w:val="FirstParagraph"/>
      </w:pPr>
      <w:r>
        <w:rPr>
          <w:b/>
          <w:bCs/>
        </w:rPr>
        <w:t xml:space="preserve">Mecanismos Fiscales:</w:t>
      </w:r>
      <w:r>
        <w:t xml:space="preserve"> </w:t>
      </w:r>
      <w:r>
        <w:t xml:space="preserve">- Step-up in basis (ajuste de base imponible)</w:t>
      </w:r>
      <w:r>
        <w:t xml:space="preserve"> </w:t>
      </w:r>
      <w:r>
        <w:t xml:space="preserve">- Ganancia no realizada</w:t>
      </w:r>
      <w:r>
        <w:t xml:space="preserve"> </w:t>
      </w:r>
      <w:r>
        <w:t xml:space="preserve">- Hecho imponible</w:t>
      </w:r>
      <w:r>
        <w:t xml:space="preserve"> </w:t>
      </w:r>
      <w:r>
        <w:t xml:space="preserve">- Tasa fiscal efectiva vs. tipo marginal</w:t>
      </w:r>
    </w:p>
    <w:p>
      <w:pPr>
        <w:pStyle w:val="BodyText"/>
      </w:pPr>
      <w:r>
        <w:rPr>
          <w:b/>
          <w:bCs/>
        </w:rPr>
        <w:t xml:space="preserve">Instrumentos Financieros:</w:t>
      </w:r>
      <w:r>
        <w:t xml:space="preserve"> </w:t>
      </w:r>
      <w:r>
        <w:t xml:space="preserve">- Lombard Loan / Securities-Based Lending</w:t>
      </w:r>
      <w:r>
        <w:t xml:space="preserve"> </w:t>
      </w:r>
      <w:r>
        <w:t xml:space="preserve">- Vehículos de inversión de acumulación</w:t>
      </w:r>
      <w:r>
        <w:t xml:space="preserve"> </w:t>
      </w:r>
      <w:r>
        <w:t xml:space="preserve">- Fondos de distribución vs. acumulación</w:t>
      </w:r>
    </w:p>
    <w:p>
      <w:pPr>
        <w:pStyle w:val="BodyText"/>
      </w:pPr>
      <w:r>
        <w:rPr>
          <w:b/>
          <w:bCs/>
        </w:rPr>
        <w:t xml:space="preserve">Métricas de Riesgo:</w:t>
      </w:r>
      <w:r>
        <w:t xml:space="preserve"> </w:t>
      </w:r>
      <w:r>
        <w:t xml:space="preserve">- Loan-to-Value (LTV)</w:t>
      </w:r>
      <w:r>
        <w:t xml:space="preserve"> </w:t>
      </w:r>
      <w:r>
        <w:t xml:space="preserve">- Margin call</w:t>
      </w:r>
      <w:r>
        <w:t xml:space="preserve"> </w:t>
      </w:r>
      <w:r>
        <w:t xml:space="preserve">- Diferencial crecimiento-interés</w:t>
      </w:r>
      <w:r>
        <w:t xml:space="preserve"> </w:t>
      </w:r>
      <w:r>
        <w:t xml:space="preserve">- Punto de inversión del diferencial</w:t>
      </w:r>
    </w:p>
    <w:p>
      <w:pPr>
        <w:pStyle w:val="BodyText"/>
      </w:pPr>
      <w:r>
        <w:rPr>
          <w:b/>
          <w:bCs/>
        </w:rPr>
        <w:t xml:space="preserve">Estrategias Estructurales:</w:t>
      </w:r>
      <w:r>
        <w:t xml:space="preserve"> </w:t>
      </w:r>
      <w:r>
        <w:t xml:space="preserve">- Ciclo autosostenible</w:t>
      </w:r>
      <w:r>
        <w:t xml:space="preserve"> </w:t>
      </w:r>
      <w:r>
        <w:t xml:space="preserve">- Ingeniería de sucesiones</w:t>
      </w:r>
      <w:r>
        <w:t xml:space="preserve"> </w:t>
      </w:r>
      <w:r>
        <w:t xml:space="preserve">- Refinanciamiento revolvente</w:t>
      </w:r>
      <w:r>
        <w:t xml:space="preserve"> </w:t>
      </w:r>
      <w:r>
        <w:t xml:space="preserve">- Planificación fiscal internacional</w:t>
      </w:r>
    </w:p>
    <w:p>
      <w:pPr>
        <w:pStyle w:val="BodyText"/>
      </w:pPr>
      <w:r>
        <w:rPr>
          <w:b/>
          <w:bCs/>
        </w:rPr>
        <w:t xml:space="preserve">Contraste de Sistemas:</w:t>
      </w:r>
      <w:r>
        <w:t xml:space="preserve"> </w:t>
      </w:r>
      <w:r>
        <w:t xml:space="preserve">- Juego de los Ingresos vs. Juego de la Riqueza</w:t>
      </w:r>
      <w:r>
        <w:t xml:space="preserve"> </w:t>
      </w:r>
      <w:r>
        <w:t xml:space="preserve">- Deuda destructiva vs. productiva</w:t>
      </w:r>
      <w:r>
        <w:t xml:space="preserve"> </w:t>
      </w:r>
      <w:r>
        <w:t xml:space="preserve">- Herencia limpia vs. herencia tributada</w:t>
      </w:r>
      <w:r>
        <w:t xml:space="preserve"> </w:t>
      </w:r>
      <w:r>
        <w:t xml:space="preserve">- Cliente de vida vs. cliente de transacción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Índice generado para LIBRO_MAESTRO_V2.md</w:t>
      </w:r>
      <w:r>
        <w:t xml:space="preserve"> </w:t>
      </w:r>
      <w:r>
        <w:rPr>
          <w:i/>
          <w:iCs/>
        </w:rPr>
        <w:t xml:space="preserve">Palabras totales: 8.959</w:t>
      </w:r>
      <w:r>
        <w:t xml:space="preserve"> </w:t>
      </w:r>
      <w:r>
        <w:rPr>
          <w:i/>
          <w:iCs/>
        </w:rPr>
        <w:t xml:space="preserve">Fecha: 2026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2026-05-11T16:48:24Z</dcterms:created>
  <dcterms:modified xsi:type="dcterms:W3CDTF">2026-05-11T16:48:24Z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