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Capítulo 11</w:t>
      </w:r>
    </w:p>
    <w:p>
      <w:pPr>
        <w:pStyle w:val="BodyText"/>
      </w:pPr>
      <w:r>
        <w:t xml:space="preserve">El último truco fiscal</w:t>
      </w:r>
    </w:p>
    <w:p>
      <w:pPr>
        <w:pStyle w:val="BodyText"/>
      </w:pPr>
      <w:r>
        <w:t xml:space="preserve">Si los dos primeros movimientos del Juego de la Riqueza son poderosos, el tercero es directamente extraordinario. Porque resuelve el único problema aparente de la estrategia: ¿qué pasa con todas esas plusvalías latentes acumuladas a lo largo de décadas cuando el titular de los activos muere?</w:t>
      </w:r>
    </w:p>
    <w:p>
      <w:pPr>
        <w:pStyle w:val="BodyText"/>
      </w:pPr>
      <w:r>
        <w:t xml:space="preserve">La respuesta, al menos en el sistema fiscal americano donde esta regla es especialmente poderosa, es que desaparecen. Se evaporan. Décadas de ganancias no realizadas quedan completamente exentas de impuestos sobre las plusvalías gracias a un mecanismo llamado step-up in basis, que podríamos traducir como ajuste o actualización de la base imponible.</w:t>
      </w:r>
    </w:p>
    <w:p>
      <w:pPr>
        <w:pStyle w:val="BodyText"/>
      </w:pPr>
      <w:r>
        <w:t xml:space="preserve">El funcionamiento es el siguiente. Cuando alguien muere y sus herederos reciben un activo, la base imponible de ese activo, es decir, el valor desde el que se calcularán las futuras plusvalías, se actualiza al precio de mercado en el momento del fallecimiento.</w:t>
      </w:r>
    </w:p>
    <w:p>
      <w:pPr>
        <w:pStyle w:val="BodyText"/>
      </w:pPr>
      <w:r>
        <w:t xml:space="preserve">▶ Ejemplo del step-up in basis</w:t>
      </w:r>
    </w:p>
    <w:p>
      <w:pPr>
        <w:pStyle w:val="BodyText"/>
      </w:pPr>
      <w:r>
        <w:t xml:space="preserve">El abuelo compró acciones en 1990 por 100.000 dólares. Al morir en 2025, esas acciones valen 5.000.000 dólares. Si las hubiera vendido en vida, habría pagado impuestos sobre 4.900.000 dólares de plusvalía. Al heredarlas, sus hijos reciben las acciones con una base imponible de 5.000.000 dólares. Si las venden inmediatamente, no pagan ningún impuesto sobre los 4.900.000 dólares de ganancia acumulada durante 35 años. Esa ganancia, fiscalmente hablando, nunca existió.</w:t>
      </w:r>
    </w:p>
    <w:p>
      <w:pPr>
        <w:pStyle w:val="BodyText"/>
      </w:pPr>
      <w:r>
        <w:t xml:space="preserve">El resultado es que toda la revalorización acumulada durante la vida del inversor queda libre de impuestos sobre las plusvalías en el momento de la transmisión. Es el cierre perfecto de la estrategia. Compras. No vendes. Pides prestado para vivir. Y al morir, tus herederos reciben los activos limpios de cualquier deuda fiscal histórica.</w:t>
      </w:r>
    </w:p>
    <w:p>
      <w:pPr>
        <w:pStyle w:val="BodyText"/>
      </w:pPr>
      <w:r>
        <w:t xml:space="preserve">——————————————————</w:t>
      </w:r>
    </w:p>
    <w:p>
      <w:pPr>
        <w:pStyle w:val="BodyText"/>
      </w:pPr>
      <w:r>
        <w:t xml:space="preserve">▶ LA MAGIA DEL RESET: CÓMO EL STEP-UP ELIMINA DÉCADAS DE IMPUESTOS</w:t>
      </w:r>
    </w:p>
    <w:p>
      <w:pPr>
        <w:pStyle w:val="BodyText"/>
      </w:pPr>
      <w:r>
        <w:t xml:space="preserve">El step-up in basis no es un simple ajuste administrativo. Es la culminación matemática del Juego de la Riqueza. Para entender su poder, necesitamos ver los números brutos que implica.</w:t>
      </w:r>
    </w:p>
    <w:p>
      <w:pPr>
        <w:pStyle w:val="BodyText"/>
      </w:pPr>
      <w:r>
        <w:t xml:space="preserve">Imagina que Rodrigo, a los 30 años, heredó de su padre una cartera de 2 millones de euros. Durante 40 años, aplicando estrictamente la estrategia de comprar y pedir prestado, su cartera creció sin vender ni un solo euro de ganancia:</w:t>
      </w:r>
    </w:p>
    <w:p>
      <w:pPr>
        <w:pStyle w:val="BodyText"/>
      </w:pPr>
      <w:r>
        <w:t xml:space="preserve">• Año 0 (herencia): 2.000.000 €</w:t>
      </w:r>
      <w:r>
        <w:t xml:space="preserve"> </w:t>
      </w:r>
      <w:r>
        <w:t xml:space="preserve">• Año 10: 3.900.000 € (7% anual compuesto)</w:t>
      </w:r>
      <w:r>
        <w:t xml:space="preserve"> </w:t>
      </w:r>
      <w:r>
        <w:t xml:space="preserve">• Año 20: 7.700.000 €</w:t>
      </w:r>
      <w:r>
        <w:t xml:space="preserve"> </w:t>
      </w:r>
      <w:r>
        <w:t xml:space="preserve">• Año 30: 15.200.000 €</w:t>
      </w:r>
      <w:r>
        <w:t xml:space="preserve"> </w:t>
      </w:r>
      <w:r>
        <w:t xml:space="preserve">• Año 40 (fallecimiento): 29.900.000 €</w:t>
      </w:r>
    </w:p>
    <w:p>
      <w:pPr>
        <w:pStyle w:val="BodyText"/>
      </w:pPr>
      <w:r>
        <w:t xml:space="preserve">La ganancia latente acumulada: 27.900.000 €. En España, tributar por eso en vida habría supuesto entre 5 y 7 millones de euros en impuestos por plusvalías.</w:t>
      </w:r>
    </w:p>
    <w:p>
      <w:pPr>
        <w:pStyle w:val="BodyText"/>
      </w:pPr>
      <w:r>
        <w:t xml:space="preserve">Pero Rodrigo nunca vendió. Nunca realizó esas ganancias. Y al morir, sus hijos reciben la cartera con una base imponible de 29.900.000 €, no de 2.000.000 €. Esos 27,9 millones de plusvalía desaparecen fiscalmente como por arte de magia.</w:t>
      </w:r>
    </w:p>
    <w:p>
      <w:pPr>
        <w:pStyle w:val="BodyText"/>
      </w:pPr>
      <w:r>
        <w:t xml:space="preserve">“</w:t>
      </w:r>
      <w:r>
        <w:t xml:space="preserve">El step-up no evade impuestos. Los elimina retroactivamente. Es la diferencia entre no pagar y que la deuda nunca existiera.</w:t>
      </w:r>
      <w:r>
        <w:t xml:space="preserve">”</w:t>
      </w:r>
    </w:p>
    <w:p>
      <w:pPr>
        <w:pStyle w:val="BodyText"/>
      </w:pPr>
      <w:r>
        <w:t xml:space="preserve">——————————————————</w:t>
      </w:r>
    </w:p>
    <w:p>
      <w:pPr>
        <w:pStyle w:val="BodyText"/>
      </w:pPr>
      <w:r>
        <w:t xml:space="preserve">▶ RODRIGO VS CARLOS: LA HERENCIA QUE NO ES IGUAL</w:t>
      </w:r>
    </w:p>
    <w:p>
      <w:pPr>
        <w:pStyle w:val="BodyText"/>
      </w:pPr>
      <w:r>
        <w:t xml:space="preserve">Aquí está el contraste brutal que el sistema oculta. Comparemos qué le dejan dos padres a sus hijos.</w:t>
      </w:r>
    </w:p>
    <w:p>
      <w:pPr>
        <w:pStyle w:val="BodyText"/>
      </w:pPr>
      <w:r>
        <w:t xml:space="preserve">El padre de Carlos trabajó 45 años en una fábrica. Ahorró religiosamente. Al morir, dejó:</w:t>
      </w:r>
      <w:r>
        <w:t xml:space="preserve"> </w:t>
      </w:r>
      <w:r>
        <w:t xml:space="preserve">• Una casa pagada: valor 180.000 € (comprada por 60.000 € en 1990)</w:t>
      </w:r>
      <w:r>
        <w:t xml:space="preserve"> </w:t>
      </w:r>
      <w:r>
        <w:t xml:space="preserve">• Una cuenta de ahorro: 45.000 €</w:t>
      </w:r>
      <w:r>
        <w:t xml:space="preserve"> </w:t>
      </w:r>
      <w:r>
        <w:t xml:space="preserve">• Fondos de inversión vendidos en su lecho de muerte para pagar gastos: 30.000 €</w:t>
      </w:r>
    </w:p>
    <w:p>
      <w:pPr>
        <w:pStyle w:val="BodyText"/>
      </w:pPr>
      <w:r>
        <w:t xml:space="preserve">Total herencia: 255.000 €. Pero antes de que los hijos recibieran un euro:</w:t>
      </w:r>
      <w:r>
        <w:t xml:space="preserve"> </w:t>
      </w:r>
      <w:r>
        <w:t xml:space="preserve">• Impuestos por plusvalías inmobiliarias: ~22.800 € (19% de 120.000 € de ganancia)</w:t>
      </w:r>
      <w:r>
        <w:t xml:space="preserve"> </w:t>
      </w:r>
      <w:r>
        <w:t xml:space="preserve">• Impuestos por plusvalías de los fondos vendidos: ~5.700 €</w:t>
      </w:r>
      <w:r>
        <w:t xml:space="preserve"> </w:t>
      </w:r>
      <w:r>
        <w:t xml:space="preserve">• Impuesto de Sucesiones (media europea ~15%): ~38.250 €</w:t>
      </w:r>
    </w:p>
    <w:p>
      <w:pPr>
        <w:pStyle w:val="BodyText"/>
      </w:pPr>
      <w:r>
        <w:t xml:space="preserve">Total impuestos pagados: ~66.750 €. Los hijos de Carlos reciben: 188.250 € netos.</w:t>
      </w:r>
    </w:p>
    <w:p>
      <w:pPr>
        <w:pStyle w:val="BodyText"/>
      </w:pPr>
      <w:r>
        <w:t xml:space="preserve">Ahora Rodrigo. El mismo Rodrigo que vivió de préstamos, que nunca vendió, que acumuló plusvalías durante 40 años:</w:t>
      </w:r>
      <w:r>
        <w:t xml:space="preserve"> </w:t>
      </w:r>
      <w:r>
        <w:t xml:space="preserve">• Cartera de acciones al fallecer: 29.900.000 €</w:t>
      </w:r>
      <w:r>
        <w:t xml:space="preserve"> </w:t>
      </w:r>
      <w:r>
        <w:t xml:space="preserve">• Préstamo Lombard pendiente: 8.000.000 € (acumulado durante décadas de gastos)</w:t>
      </w:r>
      <w:r>
        <w:t xml:space="preserve"> </w:t>
      </w:r>
      <w:r>
        <w:t xml:space="preserve">• Propiedad en Sarrià: 3.500.000 € (comprada con préstamo, base original 3.500.000 €)</w:t>
      </w:r>
    </w:p>
    <w:p>
      <w:pPr>
        <w:pStyle w:val="BodyText"/>
      </w:pPr>
      <w:r>
        <w:t xml:space="preserve">Total activos brutos: 33.400.000 €. Deuda contraída: 8.000.000 €. Patrimonio neto heredado: 25.400.000 €.</w:t>
      </w:r>
    </w:p>
    <w:p>
      <w:pPr>
        <w:pStyle w:val="BodyText"/>
      </w:pPr>
      <w:r>
        <w:t xml:space="preserve">Pero aquí viene la magia fiscal:</w:t>
      </w:r>
      <w:r>
        <w:t xml:space="preserve"> </w:t>
      </w:r>
      <w:r>
        <w:t xml:space="preserve">• Plusvalías de la cartera (27.900.000 €): 0 € de impuestos (step-up in basis)</w:t>
      </w:r>
      <w:r>
        <w:t xml:space="preserve"> </w:t>
      </w:r>
      <w:r>
        <w:t xml:space="preserve">• La propiedad, al no haberse vendido nunca, también recibe step-up a 3.500.000 €</w:t>
      </w:r>
      <w:r>
        <w:t xml:space="preserve"> </w:t>
      </w:r>
      <w:r>
        <w:t xml:space="preserve">• El préstamo Lombard es una deuda deducible del patrimonio, reduciendo la base imponible de Sucesiones</w:t>
      </w:r>
    </w:p>
    <w:p>
      <w:pPr>
        <w:pStyle w:val="BodyText"/>
      </w:pPr>
      <w:r>
        <w:t xml:space="preserve">Los hijos de Rodrigo heredan 25.400.000 € de patrimonio neto con cero impuestos por plusvalías históricas. Esa es la diferencia entre el Juego de los Ingresos y el Juego de la Riqueza: no solo cuánto acumulas, sino qué parte de eso el Estado puede tocar.</w:t>
      </w:r>
    </w:p>
    <w:p>
      <w:pPr>
        <w:pStyle w:val="BodyText"/>
      </w:pPr>
      <w:r>
        <w:t xml:space="preserve">“</w:t>
      </w:r>
      <w:r>
        <w:t xml:space="preserve">Carlos hereda lo que quedó después de que el sistema tocara su parte. Los hijos de Rodrigo heredan el tablero completo, con las piezas intactas.</w:t>
      </w:r>
      <w:r>
        <w:t xml:space="preserve">”</w:t>
      </w:r>
    </w:p>
    <w:p>
      <w:pPr>
        <w:pStyle w:val="BodyText"/>
      </w:pPr>
      <w:r>
        <w:t xml:space="preserve">——————————————————</w:t>
      </w:r>
    </w:p>
    <w:p>
      <w:pPr>
        <w:pStyle w:val="BodyText"/>
      </w:pPr>
      <w:r>
        <w:t xml:space="preserve">▶ INGENIERÍA DE SUCESIONES: LA DEUDA QUE SE PAGA SOLA</w:t>
      </w:r>
    </w:p>
    <w:p>
      <w:pPr>
        <w:pStyle w:val="BodyText"/>
      </w:pPr>
      <w:r>
        <w:t xml:space="preserve">Aquí es donde la estrategia alcanza su máxima elegancia. La deuda que Rodrigo acumuló durante su vida —esos 8 millones de préstamo Lombard— no es una carga para sus herederos. Es una herramienta de optimización fiscal.</w:t>
      </w:r>
    </w:p>
    <w:p>
      <w:pPr>
        <w:pStyle w:val="BodyText"/>
      </w:pPr>
      <w:r>
        <w:t xml:space="preserve">El mecanismo funciona así:</w:t>
      </w:r>
    </w:p>
    <w:p>
      <w:pPr>
        <w:pStyle w:val="BodyText"/>
      </w:pPr>
      <w:r>
        <w:t xml:space="preserve">Cuando Rodrigo muere, sus herederos reciben los activos con step-up in basis. Eso significa que la cartera de 29.900.000 € ahora tiene una base fiscal de 29.900.000 €. Cero plusvalías latentes.</w:t>
      </w:r>
    </w:p>
    <w:p>
      <w:pPr>
        <w:pStyle w:val="BodyText"/>
      </w:pPr>
      <w:r>
        <w:t xml:space="preserve">Pero Rodrigo también dejó una deuda de 8.000.000 € con el banco privado. Esa deuda está garantizada por los propios activos heredados. ¿Qué hacen los herederos?</w:t>
      </w:r>
    </w:p>
    <w:p>
      <w:pPr>
        <w:pStyle w:val="BodyText"/>
      </w:pPr>
      <w:r>
        <w:t xml:space="preserve">Opción A (la ingenua): Venden 8 millones de acciones para pagar la deuda. Pagarían 0€ de plusvalías gracias al step-up (base = valor actual). Pero pierden 8 millones de activos que seguirían creciendo al 7% anual.</w:t>
      </w:r>
    </w:p>
    <w:p>
      <w:pPr>
        <w:pStyle w:val="BodyText"/>
      </w:pPr>
      <w:r>
        <w:t xml:space="preserve">Opción B (la estrategia): Refinancian el préstamo a su nombre, mantienen los activos intactos, y siguen el juego.</w:t>
      </w:r>
    </w:p>
    <w:p>
      <w:pPr>
        <w:pStyle w:val="BodyText"/>
      </w:pPr>
      <w:r>
        <w:t xml:space="preserve">Veamos los números de la Opción B:</w:t>
      </w:r>
    </w:p>
    <w:p>
      <w:pPr>
        <w:pStyle w:val="BodyText"/>
      </w:pPr>
      <w:r>
        <w:t xml:space="preserve">Los hijos de Rodrigo heredan a los 40 años. La cartera vale 29.900.000 € con step-up basis. El préstamo de 8.000.000 € se refinancia al mismo 2,8% anual.</w:t>
      </w:r>
    </w:p>
    <w:p>
      <w:pPr>
        <w:pStyle w:val="BodyText"/>
      </w:pPr>
      <w:r>
        <w:t xml:space="preserve">Año 1 de la herencia:</w:t>
      </w:r>
      <w:r>
        <w:t xml:space="preserve"> </w:t>
      </w:r>
      <w:r>
        <w:t xml:space="preserve">• Intereses a pagar: 224.000 €</w:t>
      </w:r>
      <w:r>
        <w:t xml:space="preserve"> </w:t>
      </w:r>
      <w:r>
        <w:t xml:space="preserve">• Crecimiento de la cartera al 7%: 2.093.000 €</w:t>
      </w:r>
      <w:r>
        <w:t xml:space="preserve"> </w:t>
      </w:r>
      <w:r>
        <w:t xml:space="preserve">• Ganancia neta no realizada: 1.869.000 €</w:t>
      </w:r>
      <w:r>
        <w:t xml:space="preserve"> </w:t>
      </w:r>
      <w:r>
        <w:t xml:space="preserve">• Plusvalías tributadas: 0 €</w:t>
      </w:r>
    </w:p>
    <w:p>
      <w:pPr>
        <w:pStyle w:val="BodyText"/>
      </w:pPr>
      <w:r>
        <w:t xml:space="preserve">En 20 años, esa cartera habrá crecido a 115.000.000 €. La deuda sigue siendo de ~8 millones (o lo que hayan ido refinanciando para gastos). El patrimonio neto familiar ha multiplicado por 4.5x sin pagar un euro de impuestos sobre plusvalías.</w:t>
      </w:r>
    </w:p>
    <w:p>
      <w:pPr>
        <w:pStyle w:val="BodyText"/>
      </w:pPr>
      <w:r>
        <w:t xml:space="preserve">La deuda del padre se convirtió en el acelerador del hijo. Sin vender ni un activo heredado. Sin realizar ganancias. Sin generar hechos imponibles.</w:t>
      </w:r>
    </w:p>
    <w:p>
      <w:pPr>
        <w:pStyle w:val="BodyText"/>
      </w:pPr>
      <w:r>
        <w:t xml:space="preserve">——————————————————</w:t>
      </w:r>
    </w:p>
    <w:p>
      <w:pPr>
        <w:pStyle w:val="BodyText"/>
      </w:pPr>
      <w:r>
        <w:t xml:space="preserve">▶ LA BASE IMPONIBLE PARALELO: ESPAÑA VS ESTADOS UNIDOS</w:t>
      </w:r>
    </w:p>
    <w:p>
      <w:pPr>
        <w:pStyle w:val="BodyText"/>
      </w:pPr>
      <w:r>
        <w:t xml:space="preserve">Es crucial entender que el step-up in basis no funciona igual en todas partes. Y esto explica por qué los grandes patrimonios estructuran sus residencias fiscales con tanta precisión.</w:t>
      </w:r>
    </w:p>
    <w:p>
      <w:pPr>
        <w:pStyle w:val="BodyText"/>
      </w:pPr>
      <w:r>
        <w:t xml:space="preserve">En Estados Unidos (donde la regla es más poderosa):</w:t>
      </w:r>
      <w:r>
        <w:t xml:space="preserve"> </w:t>
      </w:r>
      <w:r>
        <w:t xml:space="preserve">• Step-up in basis: Sí, completo</w:t>
      </w:r>
      <w:r>
        <w:t xml:space="preserve"> </w:t>
      </w:r>
      <w:r>
        <w:t xml:space="preserve">• Impuesto de Sucesiones federal: Solo aplica sobre patrimonios &gt; 12,9 millones de dólares (2023)</w:t>
      </w:r>
      <w:r>
        <w:t xml:space="preserve"> </w:t>
      </w:r>
      <w:r>
        <w:t xml:space="preserve">• Tasa máxima de Sucesiones: 40%</w:t>
      </w:r>
      <w:r>
        <w:t xml:space="preserve"> </w:t>
      </w:r>
      <w:r>
        <w:t xml:space="preserve">• Resultado: Un patrimonio de 50 millones paga ~14,8 millones en Sucesiones, pero CERO en plusvalías históricas</w:t>
      </w:r>
    </w:p>
    <w:p>
      <w:pPr>
        <w:pStyle w:val="BodyText"/>
      </w:pPr>
      <w:r>
        <w:t xml:space="preserve">En España (donde la regla está limitada):</w:t>
      </w:r>
      <w:r>
        <w:t xml:space="preserve"> </w:t>
      </w:r>
      <w:r>
        <w:t xml:space="preserve">• No existe step-up in basis equivalente para todos los activos</w:t>
      </w:r>
      <w:r>
        <w:t xml:space="preserve"> </w:t>
      </w:r>
      <w:r>
        <w:t xml:space="preserve">• Impuesto de Sucesiones: Aplica desde el primer euro, gestionado por Comunidades Autónomas</w:t>
      </w:r>
      <w:r>
        <w:t xml:space="preserve"> </w:t>
      </w:r>
      <w:r>
        <w:t xml:space="preserve">• Plusvalías latentes: En muchos casos, se consideran ganancias latentes sujetas a tributación diferida</w:t>
      </w:r>
    </w:p>
    <w:p>
      <w:pPr>
        <w:pStyle w:val="BodyText"/>
      </w:pPr>
      <w:r>
        <w:t xml:space="preserve">Pero aquí está el truco que los asesores de grandes patrimonios conocen: la planificación fiscal internacional. Un activo no es un activo. Es una estructura. Y esa estructura puede estar domiciliada donde las reglas sean más favorables.</w:t>
      </w:r>
    </w:p>
    <w:p>
      <w:pPr>
        <w:pStyle w:val="BodyText"/>
      </w:pPr>
      <w:r>
        <w:t xml:space="preserve">Un fondo de inversión luxemburgués que invierte en acciones americanas, heredado por residentes en Madrid, puede beneficiarse de tratados fiscales que no aplicarían a una cartera directa española. Un trust canadiense. Una estructura holandesa con participación en una LLC americana. Cada capa añadida no es complejidad innecesaria: es optimización legal del marco aplicable.</w:t>
      </w:r>
    </w:p>
    <w:p>
      <w:pPr>
        <w:pStyle w:val="BodyText"/>
      </w:pPr>
      <w:r>
        <w:t xml:space="preserve">“</w:t>
      </w:r>
      <w:r>
        <w:t xml:space="preserve">El activo es lo de menos. La estructura que lo contiene es el verdadero jugador en el tablero fiscal.</w:t>
      </w:r>
      <w:r>
        <w:t xml:space="preserve">”</w:t>
      </w:r>
    </w:p>
    <w:p>
      <w:pPr>
        <w:pStyle w:val="BodyText"/>
      </w:pPr>
      <w:r>
        <w:t xml:space="preserve">——————————————————</w:t>
      </w:r>
    </w:p>
    <w:p>
      <w:pPr>
        <w:pStyle w:val="BodyText"/>
      </w:pPr>
      <w:r>
        <w:t xml:space="preserve">▶ LA ÚLTIMA TRANSFERENCIA: CUÁNDO MORIR NO ES EL FINAL, ES EL RESET</w:t>
      </w:r>
    </w:p>
    <w:p>
      <w:pPr>
        <w:pStyle w:val="BodyText"/>
      </w:pPr>
      <w:r>
        <w:t xml:space="preserve">Volvamos a la pregunta fundamental: ¿por qué esta estrategia es legal? ¿Por qué los Estados permiten que décadas de ganancias no realizadas se borren fiscalmente al morir?</w:t>
      </w:r>
    </w:p>
    <w:p>
      <w:pPr>
        <w:pStyle w:val="BodyText"/>
      </w:pPr>
      <w:r>
        <w:t xml:space="preserve">La respuesta oficial es que el impuesto de Sucesiones</w:t>
      </w:r>
      <w:r>
        <w:t xml:space="preserve"> </w:t>
      </w:r>
      <w:r>
        <w:t xml:space="preserve">“</w:t>
      </w:r>
      <w:r>
        <w:t xml:space="preserve">ya grava</w:t>
      </w:r>
      <w:r>
        <w:t xml:space="preserve">”</w:t>
      </w:r>
      <w:r>
        <w:t xml:space="preserve"> </w:t>
      </w:r>
      <w:r>
        <w:t xml:space="preserve">la transferencia. Pero esa respuesta oculta el engaño estructural:</w:t>
      </w:r>
    </w:p>
    <w:p>
      <w:pPr>
        <w:pStyle w:val="BodyText"/>
      </w:pPr>
      <w:r>
        <w:t xml:space="preserve">En un sistema justo, heredar se gravaría sobre el valor real recibido. El step-up in basis no grava el valor real: grava el valor futuro. Es como si el Estado dijera:</w:t>
      </w:r>
      <w:r>
        <w:t xml:space="preserve"> </w:t>
      </w:r>
      <w:r>
        <w:t xml:space="preserve">“</w:t>
      </w:r>
      <w:r>
        <w:t xml:space="preserve">No te cobro por los 28 millones que ganaste sin pagar impuestos durante 40 años. Te cobraré solo si tus hijos venden y ganan más.</w:t>
      </w:r>
      <w:r>
        <w:t xml:space="preserve">”</w:t>
      </w:r>
    </w:p>
    <w:p>
      <w:pPr>
        <w:pStyle w:val="BodyText"/>
      </w:pPr>
      <w:r>
        <w:t xml:space="preserve">El sistema, en otras palabras, apuesta a que los ricos seguirán siendo ricos. Que no venderán. Que perpetuarán el juego. Y que, al final, el Estado cobrará por el crecimiento futuro, no por el pasado.</w:t>
      </w:r>
    </w:p>
    <w:p>
      <w:pPr>
        <w:pStyle w:val="BodyText"/>
      </w:pPr>
      <w:r>
        <w:t xml:space="preserve">Pero los datos demuestran que ese</w:t>
      </w:r>
      <w:r>
        <w:t xml:space="preserve"> </w:t>
      </w:r>
      <w:r>
        <w:t xml:space="preserve">“</w:t>
      </w:r>
      <w:r>
        <w:t xml:space="preserve">cobro futuro</w:t>
      </w:r>
      <w:r>
        <w:t xml:space="preserve">”</w:t>
      </w:r>
      <w:r>
        <w:t xml:space="preserve"> </w:t>
      </w:r>
      <w:r>
        <w:t xml:space="preserve">nunca llega. Los herederos de grandes patrimonios:</w:t>
      </w:r>
      <w:r>
        <w:t xml:space="preserve"> </w:t>
      </w:r>
      <w:r>
        <w:t xml:space="preserve">1. No venden (sigue la regla de no-venta)</w:t>
      </w:r>
      <w:r>
        <w:t xml:space="preserve"> </w:t>
      </w:r>
      <w:r>
        <w:t xml:space="preserve">2. Refinancian la deuda del padre (seguir el ciclo autosostenible)</w:t>
      </w:r>
      <w:r>
        <w:t xml:space="preserve"> </w:t>
      </w:r>
      <w:r>
        <w:t xml:space="preserve">3. Acumulan más deuda propia (la riqueza crece, la deuda crece con ella)</w:t>
      </w:r>
      <w:r>
        <w:t xml:space="preserve"> </w:t>
      </w:r>
      <w:r>
        <w:t xml:space="preserve">4. Transmiten a sus hijos con otro step-up (el ciclo se reinicia)</w:t>
      </w:r>
    </w:p>
    <w:p>
      <w:pPr>
        <w:pStyle w:val="BodyText"/>
      </w:pPr>
      <w:r>
        <w:t xml:space="preserve">La plusvalía fiscalmente</w:t>
      </w:r>
      <w:r>
        <w:t xml:space="preserve"> </w:t>
      </w:r>
      <w:r>
        <w:t xml:space="preserve">“</w:t>
      </w:r>
      <w:r>
        <w:t xml:space="preserve">perdonada</w:t>
      </w:r>
      <w:r>
        <w:t xml:space="preserve">”</w:t>
      </w:r>
      <w:r>
        <w:t xml:space="preserve"> </w:t>
      </w:r>
      <w:r>
        <w:t xml:space="preserve">nunca se cobra. Se acumula generación tras generación, creciendo exponencialmente, mientras el Estado cobra migajas de Sucesiones sobre el valor nominal del patrimonio, no sobre la ganancia real acumulada.</w:t>
      </w:r>
    </w:p>
    <w:p>
      <w:pPr>
        <w:pStyle w:val="BodyText"/>
      </w:pPr>
      <w:r>
        <w:t xml:space="preserve">“</w:t>
      </w:r>
      <w:r>
        <w:t xml:space="preserve">La verdadera herencia no es el dinero. Es la estructura que permite que el dinero nunca sea gravado como correspondería.</w:t>
      </w:r>
      <w:r>
        <w:t xml:space="preserve">”</w:t>
      </w:r>
    </w:p>
    <w:p>
      <w:pPr>
        <w:pStyle w:val="BodyText"/>
      </w:pPr>
      <w:r>
        <w:t xml:space="preserve">——————————————————</w:t>
      </w:r>
    </w:p>
    <w:p>
      <w:pPr>
        <w:pStyle w:val="BodyText"/>
      </w:pPr>
      <w:r>
        <w:t xml:space="preserve">▶ EL CIERRE DEL CÍRCULO: CÓMO NACE UNA DINASTÍA</w:t>
      </w:r>
    </w:p>
    <w:p>
      <w:pPr>
        <w:pStyle w:val="BodyText"/>
      </w:pPr>
      <w:r>
        <w:t xml:space="preserve">Aquí es donde todo converge. Comprar. Pedir prestado. Morir. No son tres pasos aislados. Son un sistema que se alimenta a sí mismo generación tras generación.</w:t>
      </w:r>
    </w:p>
    <w:p>
      <w:pPr>
        <w:pStyle w:val="BodyText"/>
      </w:pPr>
      <w:r>
        <w:t xml:space="preserve">Generación 1 (Rodrigo padre):</w:t>
      </w:r>
      <w:r>
        <w:t xml:space="preserve"> </w:t>
      </w:r>
      <w:r>
        <w:t xml:space="preserve">• Compra activos: 2.000.000 €</w:t>
      </w:r>
      <w:r>
        <w:t xml:space="preserve"> </w:t>
      </w:r>
      <w:r>
        <w:t xml:space="preserve">• Pide prestado para vivir: acumula 8.000.000 € de deuda</w:t>
      </w:r>
      <w:r>
        <w:t xml:space="preserve"> </w:t>
      </w:r>
      <w:r>
        <w:t xml:space="preserve">• Muere: step-up in basis a 29.900.000 €, deuda cancelada por los activos</w:t>
      </w:r>
    </w:p>
    <w:p>
      <w:pPr>
        <w:pStyle w:val="BodyText"/>
      </w:pPr>
      <w:r>
        <w:t xml:space="preserve">Generación 2 (Rodrigo hijo):</w:t>
      </w:r>
      <w:r>
        <w:t xml:space="preserve"> </w:t>
      </w:r>
      <w:r>
        <w:t xml:space="preserve">• Hereda con base ajustada: 29.900.000 € (sin plusvalías latentes)</w:t>
      </w:r>
      <w:r>
        <w:t xml:space="preserve"> </w:t>
      </w:r>
      <w:r>
        <w:t xml:space="preserve">• Sigue pidiendo prestado: acumula 20.000.000 € de deuda durante 30 años</w:t>
      </w:r>
      <w:r>
        <w:t xml:space="preserve"> </w:t>
      </w:r>
      <w:r>
        <w:t xml:space="preserve">• Muere: cartera vale 80.000.000 € (7% anual), step-up in basis completo</w:t>
      </w:r>
    </w:p>
    <w:p>
      <w:pPr>
        <w:pStyle w:val="BodyText"/>
      </w:pPr>
      <w:r>
        <w:t xml:space="preserve">Generación 3 (Rodrigo nieto):</w:t>
      </w:r>
      <w:r>
        <w:t xml:space="preserve"> </w:t>
      </w:r>
      <w:r>
        <w:t xml:space="preserve">• Hereda con base ajustada: 80.000.000 €</w:t>
      </w:r>
      <w:r>
        <w:t xml:space="preserve"> </w:t>
      </w:r>
      <w:r>
        <w:t xml:space="preserve">• El ciclo continúa…</w:t>
      </w:r>
    </w:p>
    <w:p>
      <w:pPr>
        <w:pStyle w:val="BodyText"/>
      </w:pPr>
      <w:r>
        <w:t xml:space="preserve">En tres generaciones, 2 millones se convirtieron en 80 millones. La deuda acumulada en cada generación se pagó con activos que crecían más rápido. Los impuestos sobre plusvalías pagados: cero. Los impuestos de Sucesiones: una fracción mínima comparada con el patrimonio real transmitido.</w:t>
      </w:r>
    </w:p>
    <w:p>
      <w:pPr>
        <w:pStyle w:val="BodyText"/>
      </w:pPr>
      <w:r>
        <w:t xml:space="preserve">Esto no es evasión fiscal. Es estructura. Es entender que el sistema fiscal está diseñado para gravar transacciones, no acumulaciones. Para gravar trabajo, no propiedad. Para gravar ventas, no tenencia.</w:t>
      </w:r>
    </w:p>
    <w:p>
      <w:pPr>
        <w:pStyle w:val="BodyText"/>
      </w:pPr>
      <w:r>
        <w:t xml:space="preserve">Y eso es exactamente lo que el Juego de la Riqueza explota. No un agujero legal. La propia arquitectura del sistema.</w:t>
      </w:r>
    </w:p>
    <w:p>
      <w:pPr>
        <w:pStyle w:val="BodyText"/>
      </w:pPr>
      <w:r>
        <w:t xml:space="preserve">“</w:t>
      </w:r>
      <w:r>
        <w:t xml:space="preserve">Las dinastías no nacen de la suerte. Nacen de la comprensión de que la muerte, fiscalmente hablando, es la mejor herramienta de planificación patrimonial que existe.</w:t>
      </w:r>
      <w:r>
        <w:t xml:space="preserve">”</w:t>
      </w:r>
    </w:p>
    <w:p>
      <w:pPr>
        <w:pStyle w:val="BodyText"/>
      </w:pPr>
      <w:r>
        <w:t xml:space="preserve">Comprar. Pedir prestado. Morir.</w:t>
      </w:r>
    </w:p>
    <w:p>
      <w:pPr>
        <w:pStyle w:val="BodyText"/>
      </w:pPr>
      <w:r>
        <w:t xml:space="preserve">El resto, como siempre, es solo matemática.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2026-05-11T16:39:45Z</dcterms:created>
  <dcterms:modified xsi:type="dcterms:W3CDTF">2026-05-11T16:39:45Z</dcterms:modified>
</cp:coreProperties>
</file>

<file path=docProps/custom.xml><?xml version="1.0" encoding="utf-8"?>
<Properties xmlns="http://schemas.openxmlformats.org/officeDocument/2006/custom-properties" xmlns:vt="http://schemas.openxmlformats.org/officeDocument/2006/docPropsVTypes"/>
</file>