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p>
    <w:p>
      <w:pPr>
        <w:pStyle w:val="BodyText"/>
      </w:pPr>
      <w:r>
        <w:t xml:space="preserve">El juego en el que te metieron sin preguntarte</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Capítulo 2</w:t>
      </w:r>
    </w:p>
    <w:p>
      <w:pPr>
        <w:pStyle w:val="BodyText"/>
      </w:pPr>
      <w:r>
        <w:t xml:space="preserve">El otro juego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Capítulo 3</w:t>
      </w:r>
    </w:p>
    <w:p>
      <w:pPr>
        <w:pStyle w:val="BodyText"/>
      </w:pPr>
      <w:r>
        <w:t xml:space="preserve">La ilusión del esfuerzo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p>
    <w:p>
      <w:pPr>
        <w:pStyle w:val="BodyText"/>
      </w:pP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¿Puedo jugar yo también?</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Para patrimonios de 0 a 50.000 euros</w:t>
      </w:r>
    </w:p>
    <w:p>
      <w:pPr>
        <w:pStyle w:val="BodyText"/>
      </w:pPr>
      <w:r>
        <w:t xml:space="preserve">La prioridad en esta fase es construir la base. Fondos indexados de acumulación, que reinvierten automáticamente los dividendos sin generar hechos imponibles. Planes de pensiones o instrumentos equivalentes que difieren la tributación. Reducción de deuda destructiva al mínimo. Máximo ahorro en productos que no tributan hasta el rescate.</w:t>
      </w:r>
    </w:p>
    <w:p>
      <w:pPr>
        <w:pStyle w:val="BodyText"/>
      </w:pPr>
      <w:r>
        <w:t xml:space="preserve">Para patrimonios de 50.000 a 500.000 euros</w:t>
      </w:r>
    </w:p>
    <w:p>
      <w:pPr>
        <w:pStyle w:val="BodyText"/>
      </w:pPr>
      <w:r>
        <w:t xml:space="preserve">En esta fase aparecen nuevas herramientas. La inversión en inmuebles para alquilar, que genera rentas recurrentes con una estructura fiscal más favorable que las nóminas. Las sociedades de inversión de capital variable. La posibilidad de acceder a ciertos productos de crédito con garantía de valores en brókers especializados.</w:t>
      </w:r>
    </w:p>
    <w:p>
      <w:pPr>
        <w:pStyle w:val="BodyText"/>
      </w:pPr>
      <w:r>
        <w:t xml:space="preserve">Para patrimonios superiores a 500.000 euros</w:t>
      </w:r>
    </w:p>
    <w:p>
      <w:pPr>
        <w:pStyle w:val="BodyText"/>
      </w:pPr>
      <w:r>
        <w:t xml:space="preserve">Aquí es donde la estrategia puede aplicarse con mayor plenitud. Acceso a banca privada, a estructuras societarias patrimoniales, a productos de crédito con garantía de cartera en condiciones favorables, a planificación sucesoria inteligente que minimice la fricción fiscal intergeneracional.</w:t>
      </w:r>
    </w:p>
    <w:p>
      <w:pPr>
        <w:pStyle w:val="BodyText"/>
      </w:pPr>
      <w:r>
        <w:t xml:space="preserve">“</w:t>
      </w:r>
      <w:r>
        <w:t xml:space="preserve">No necesitas ser millonario para empezar a pensar como uno. Necesitas empezar a pensar como uno para tener posibilidades de llegar a serlo.</w:t>
      </w:r>
      <w:r>
        <w:t xml:space="preserve">”</w:t>
      </w:r>
    </w:p>
    <w:p>
      <w:pPr>
        <w:pStyle w:val="BodyText"/>
      </w:pPr>
      <w:r>
        <w:t xml:space="preserve">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2026-05-11T16:48:25Z</dcterms:created>
  <dcterms:modified xsi:type="dcterms:W3CDTF">2026-05-11T16:48:25Z</dcterms:modified>
</cp:coreProperties>
</file>

<file path=docProps/custom.xml><?xml version="1.0" encoding="utf-8"?>
<Properties xmlns="http://schemas.openxmlformats.org/officeDocument/2006/custom-properties" xmlns:vt="http://schemas.openxmlformats.org/officeDocument/2006/docPropsVTypes"/>
</file>