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PRODUCCIÓN</w:t>
      </w:r>
      <w:r>
        <w:t xml:space="preserve"> </w:t>
      </w:r>
      <w:r>
        <w:t xml:space="preserve">—</w:t>
      </w:r>
      <w:r>
        <w:t xml:space="preserve"> </w:t>
      </w:r>
      <w:r>
        <w:t xml:space="preserve">CLIPS</w:t>
      </w:r>
      <w:r>
        <w:t xml:space="preserve"> </w:t>
      </w:r>
      <w:r>
        <w:t xml:space="preserve">VERTICALES</w:t>
      </w:r>
      <w:r>
        <w:t xml:space="preserve"> </w:t>
      </w:r>
      <w:r>
        <w:t xml:space="preserve">9:16</w:t>
      </w:r>
      <w:r>
        <w:t xml:space="preserve"> </w:t>
      </w:r>
      <w:r>
        <w:t xml:space="preserve">CON</w:t>
      </w:r>
      <w:r>
        <w:t xml:space="preserve"> </w:t>
      </w:r>
      <w:r>
        <w:t xml:space="preserve">IA</w:t>
      </w:r>
    </w:p>
    <w:p>
      <w:pPr>
        <w:pStyle w:val="Subtitle"/>
      </w:pPr>
      <w:r>
        <w:t xml:space="preserve">Flujo</w:t>
      </w:r>
      <w:r>
        <w:t xml:space="preserve"> </w:t>
      </w:r>
      <w:r>
        <w:t xml:space="preserve">técnico</w:t>
      </w:r>
      <w:r>
        <w:t xml:space="preserve"> </w:t>
      </w:r>
      <w:r>
        <w:t xml:space="preserve">para</w:t>
      </w:r>
      <w:r>
        <w:t xml:space="preserve"> </w:t>
      </w:r>
      <w:r>
        <w:t xml:space="preserve">el</w:t>
      </w:r>
      <w:r>
        <w:t xml:space="preserve"> </w:t>
      </w: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contenido</w:t>
      </w:r>
      <w:r>
        <w:t xml:space="preserve"> </w:t>
      </w:r>
      <w:r>
        <w:t xml:space="preserve">de</w:t>
      </w:r>
      <w:r>
        <w:t xml:space="preserve"> </w:t>
      </w:r>
      <w:r>
        <w:t xml:space="preserve">IA</w:t>
      </w:r>
      <w:r>
        <w:t xml:space="preserve"> </w:t>
      </w:r>
      <w:r>
        <w:t xml:space="preserve">Ingresos</w:t>
      </w:r>
      <w:r>
        <w:t xml:space="preserve"> </w:t>
      </w:r>
      <w:r>
        <w:t xml:space="preserve">30</w:t>
      </w:r>
    </w:p>
    <w:p>
      <w:pPr>
        <w:pStyle w:val="Author"/>
      </w:pPr>
      <w:r>
        <w:t xml:space="preserve">Albert</w:t>
      </w:r>
      <w:r>
        <w:t xml:space="preserve"> </w:t>
      </w:r>
      <w:r>
        <w:t xml:space="preserve">Sierra</w:t>
      </w:r>
    </w:p>
    <w:p>
      <w:pPr>
        <w:pStyle w:val="Date"/>
      </w:pPr>
      <w:r>
        <w:t xml:space="preserve">2026</w:t>
      </w:r>
    </w:p>
    <w:bookmarkStart w:id="20" w:name="cómo-encaja-este-manual-en-el-sistema"/>
    <w:p>
      <w:pPr>
        <w:pStyle w:val="Heading2"/>
      </w:pPr>
      <w:r>
        <w:t xml:space="preserve">Cómo encaja este manual en el sistema</w:t>
      </w:r>
    </w:p>
    <w:p>
      <w:pPr>
        <w:pStyle w:val="FirstParagraph"/>
      </w:pPr>
      <w:r>
        <w:t xml:space="preserve">Este manual cubre la ejecución técnica del Pilar 1 y el sistema de vídeos cortos descritos en los Capítulos 11 a 13 del libro: cómo producir, en bloques, el contenido que demuestra el método ante tu audiencia. No sustituye el criterio editorial de esos capítulos — hook, promesa, demostración, CTA —, solo resuelve la parte operativa: qué herramientas usar y en qué orden.</w:t>
      </w:r>
    </w:p>
    <w:p>
      <w:pPr>
        <w:pStyle w:val="BodyText"/>
      </w:pPr>
      <w:r>
        <w:t xml:space="preserve">Un principio guía todo lo que sigue, coherente con el Capítulo 9 del libro:</w:t>
      </w:r>
      <w:r>
        <w:t xml:space="preserve"> </w:t>
      </w:r>
      <w:r>
        <w:rPr>
          <w:bCs/>
          <w:b/>
        </w:rPr>
        <w:t xml:space="preserve">la identidad visual puede ser cuidada y consistente sin que el contenido finja ser algo que no es.</w:t>
      </w:r>
      <w:r>
        <w:t xml:space="preserve"> </w:t>
      </w:r>
      <w:r>
        <w:t xml:space="preserve">El objetivo de este flujo es producir con velocidad, no fabricar pruebas de éxito.</w:t>
      </w:r>
    </w:p>
    <w:bookmarkEnd w:id="20"/>
    <w:bookmarkStart w:id="21" w:name="paso-1-guion-con-ia-conversacional"/>
    <w:p>
      <w:pPr>
        <w:pStyle w:val="Heading2"/>
      </w:pPr>
      <w:r>
        <w:t xml:space="preserve">Paso 1 — Guion con IA conversacional</w:t>
      </w:r>
    </w:p>
    <w:p>
      <w:pPr>
        <w:pStyle w:val="FirstParagraph"/>
      </w:pPr>
      <w:r>
        <w:t xml:space="preserve">Antes de generar ningún vídeo, se escribe el guion siguiendo la estructura del Capítulo 12: hook (0-3s), promesa (3-6s), demostración, CTA único.</w:t>
      </w:r>
    </w:p>
    <w:p>
      <w:pPr>
        <w:pStyle w:val="BodyText"/>
      </w:pPr>
      <w:r>
        <w:rPr>
          <w:bCs/>
          <w:b/>
        </w:rPr>
        <w:t xml:space="preserve">Herramienta:</w:t>
      </w:r>
      <w:r>
        <w:t xml:space="preserve"> </w:t>
      </w:r>
      <w:r>
        <w:t xml:space="preserve">Claude u otra IA conversacional, siguiendo el mismo criterio del Capítulo 9 — la IA produce el primer borrador, la revisión humana corrige voz y exactitud antes de grabar nada.</w:t>
      </w:r>
    </w:p>
    <w:p>
      <w:pPr>
        <w:pStyle w:val="BodyText"/>
      </w:pPr>
      <w:r>
        <w:rPr>
          <w:bCs/>
          <w:b/>
        </w:rPr>
        <w:t xml:space="preserve">Buenas prácticas:</w:t>
      </w:r>
      <w:r>
        <w:t xml:space="preserve"> </w:t>
      </w:r>
      <w:r>
        <w:t xml:space="preserve">- Escribe el hook primero y de forma aislada; si no funciona solo, no lo arreglará el resto del guion.</w:t>
      </w:r>
      <w:r>
        <w:t xml:space="preserve"> </w:t>
      </w:r>
      <w:r>
        <w:t xml:space="preserve">- Verifica cualquier afirmación concreta del guion (cifras, comparaciones, resultados) antes de grabar — el Capítulo 9 no permite publicar afirmaciones de IA sin revisión.</w:t>
      </w:r>
      <w:r>
        <w:t xml:space="preserve"> </w:t>
      </w:r>
      <w:r>
        <w:t xml:space="preserve">- Evita explícitamente el lenguaje que el propio libro descarta en el Capítulo 1: promesas de dinero fácil, cifras de ingresos no verificadas, urgencia artificial.</w:t>
      </w:r>
    </w:p>
    <w:bookmarkEnd w:id="21"/>
    <w:bookmarkStart w:id="22" w:name="paso-2-generación-de-los-clips"/>
    <w:p>
      <w:pPr>
        <w:pStyle w:val="Heading2"/>
      </w:pPr>
      <w:r>
        <w:t xml:space="preserve">Paso 2 — Generación de los clips</w:t>
      </w:r>
    </w:p>
    <w:p>
      <w:pPr>
        <w:pStyle w:val="FirstParagraph"/>
      </w:pPr>
      <w:r>
        <w:rPr>
          <w:bCs/>
          <w:b/>
        </w:rPr>
        <w:t xml:space="preserve">Herramientas:</w:t>
      </w:r>
      <w:r>
        <w:t xml:space="preserve"> </w:t>
      </w:r>
      <w:r>
        <w:t xml:space="preserve">generadores de vídeo texto/imagen a vídeo en formato 9:16 (por ejemplo Runway, Luma Dream Machine, Kling o Pika — comparar disponibilidad y calidad en el momento de producir, ya que este mercado cambia rápido).</w:t>
      </w:r>
    </w:p>
    <w:p>
      <w:pPr>
        <w:pStyle w:val="BodyText"/>
      </w:pPr>
      <w:r>
        <w:rPr>
          <w:bCs/>
          <w:b/>
        </w:rPr>
        <w:t xml:space="preserve">Parámetros del prompt visual</w:t>
      </w:r>
      <w:r>
        <w:t xml:space="preserve">, en este orden:</w:t>
      </w:r>
      <w:r>
        <w:t xml:space="preserve"> </w:t>
      </w:r>
      <w:r>
        <w:t xml:space="preserve">1. Sujeto y acción — qué se ve y qué está haciendo.</w:t>
      </w:r>
      <w:r>
        <w:t xml:space="preserve"> </w:t>
      </w:r>
      <w:r>
        <w:t xml:space="preserve">2. Entorno — dónde ocurre la escena.</w:t>
      </w:r>
      <w:r>
        <w:t xml:space="preserve"> </w:t>
      </w:r>
      <w:r>
        <w:t xml:space="preserve">3. Iluminación — el tono visual de la marca.</w:t>
      </w:r>
      <w:r>
        <w:t xml:space="preserve"> </w:t>
      </w:r>
      <w:r>
        <w:t xml:space="preserve">4. Formato — 9:16, duración del clip (3-5 segundos por segmento suele dar mejor control de calidad que pedir un clip largo de una vez).</w:t>
      </w:r>
    </w:p>
    <w:p>
      <w:pPr>
        <w:pStyle w:val="BodyText"/>
      </w:pPr>
      <w:r>
        <w:rPr>
          <w:bCs/>
          <w:b/>
        </w:rPr>
        <w:t xml:space="preserve">Límite importante:</w:t>
      </w:r>
      <w:r>
        <w:t xml:space="preserve"> </w:t>
      </w:r>
      <w:r>
        <w:t xml:space="preserve">el entorno y la estética visual son dirección de arte de marca — pueden ser tan cuidados y</w:t>
      </w:r>
      <w:r>
        <w:t xml:space="preserve"> </w:t>
      </w:r>
      <w:r>
        <w:t xml:space="preserve">“</w:t>
      </w:r>
      <w:r>
        <w:t xml:space="preserve">premium</w:t>
      </w:r>
      <w:r>
        <w:t xml:space="preserve">”</w:t>
      </w:r>
      <w:r>
        <w:t xml:space="preserve"> </w:t>
      </w:r>
      <w:r>
        <w:t xml:space="preserve">como quieras —, pero no se usan para simular que el creador vive o posee algo que no es real. Si un clip podría razonablemente hacer creer a la audiencia que muestra un hecho real (un lugar, un objeto, un resultado del creador) cuando es enteramente generado, ese uso no entra en este manual.</w:t>
      </w:r>
    </w:p>
    <w:p>
      <w:pPr>
        <w:pStyle w:val="BodyText"/>
      </w:pPr>
      <w:r>
        <w:rPr>
          <w:bCs/>
          <w:b/>
        </w:rPr>
        <w:t xml:space="preserve">Identidad de marca:</w:t>
      </w:r>
      <w:r>
        <w:t xml:space="preserve"> </w:t>
      </w:r>
      <w:r>
        <w:t xml:space="preserve">mantén una paleta y estilo consistentes (la estética</w:t>
      </w:r>
      <w:r>
        <w:t xml:space="preserve"> </w:t>
      </w:r>
      <w:r>
        <w:t xml:space="preserve">“</w:t>
      </w:r>
      <w:r>
        <w:t xml:space="preserve">Dark Luxury</w:t>
      </w:r>
      <w:r>
        <w:t xml:space="preserve">”</w:t>
      </w:r>
      <w:r>
        <w:t xml:space="preserve"> </w:t>
      </w:r>
      <w:r>
        <w:t xml:space="preserve">ya usada en el resto del ecosistema) como recurso visual, igual que cualquier marca tiene una dirección de arte — sin que la escena se presente como un hecho autobiográfico.</w:t>
      </w:r>
    </w:p>
    <w:bookmarkEnd w:id="22"/>
    <w:bookmarkStart w:id="23" w:name="paso-3-montaje-y-retención"/>
    <w:p>
      <w:pPr>
        <w:pStyle w:val="Heading2"/>
      </w:pPr>
      <w:r>
        <w:t xml:space="preserve">Paso 3 — Montaje y retención</w:t>
      </w:r>
    </w:p>
    <w:p>
      <w:pPr>
        <w:pStyle w:val="FirstParagraph"/>
      </w:pPr>
      <w:r>
        <w:rPr>
          <w:bCs/>
          <w:b/>
        </w:rPr>
        <w:t xml:space="preserve">Herramienta:</w:t>
      </w:r>
      <w:r>
        <w:t xml:space="preserve"> </w:t>
      </w:r>
      <w:r>
        <w:t xml:space="preserve">CapCut (ya en el apéndice del libro), u otro editor de vídeo vertical.</w:t>
      </w:r>
    </w:p>
    <w:p>
      <w:pPr>
        <w:pStyle w:val="BodyText"/>
      </w:pPr>
      <w:r>
        <w:t xml:space="preserve">Siguiendo el Capítulo 12:</w:t>
      </w:r>
      <w:r>
        <w:t xml:space="preserve"> </w:t>
      </w:r>
      <w:r>
        <w:t xml:space="preserve">- Sincroniza los clips con el guion ya revisado.</w:t>
      </w:r>
      <w:r>
        <w:t xml:space="preserve"> </w:t>
      </w:r>
      <w:r>
        <w:t xml:space="preserve">- Corta cualquier silencio o fragmento que no aporte avance, prueba o giro — la prueba de fuego del Capítulo 12: si se puede quitar sin que se note, no debería estar.</w:t>
      </w:r>
      <w:r>
        <w:t xml:space="preserve"> </w:t>
      </w:r>
      <w:r>
        <w:t xml:space="preserve">- Verifica que el hook queda en los primeros 3 segundos exactos del vídeo final, sin introducción previa.</w:t>
      </w:r>
      <w:r>
        <w:t xml:space="preserve"> </w:t>
      </w:r>
      <w:r>
        <w:t xml:space="preserve">- Subtítulos activados por defecto — gran parte de la audiencia ve sin sonido.</w:t>
      </w:r>
    </w:p>
    <w:bookmarkEnd w:id="23"/>
    <w:bookmarkStart w:id="24" w:name="paso-4-transparencia-antes-de-publicar"/>
    <w:p>
      <w:pPr>
        <w:pStyle w:val="Heading2"/>
      </w:pPr>
      <w:r>
        <w:t xml:space="preserve">Paso 4 — Transparencia antes de publicar</w:t>
      </w:r>
    </w:p>
    <w:p>
      <w:pPr>
        <w:pStyle w:val="FirstParagraph"/>
      </w:pPr>
      <w:r>
        <w:t xml:space="preserve">Checklist final, coherente con el Capítulo 9 y el aviso legal del manuscrito:</w:t>
      </w:r>
    </w:p>
    <w:p>
      <w:pPr>
        <w:numPr>
          <w:ilvl w:val="0"/>
          <w:numId w:val="1001"/>
        </w:numPr>
        <w:pStyle w:val="Compact"/>
      </w:pPr>
      <w:r>
        <w:t xml:space="preserve">☐ El guion fue revisado por una persona, no publicado tal cual lo generó la IA.</w:t>
      </w:r>
    </w:p>
    <w:p>
      <w:pPr>
        <w:numPr>
          <w:ilvl w:val="0"/>
          <w:numId w:val="1001"/>
        </w:numPr>
        <w:pStyle w:val="Compact"/>
      </w:pPr>
      <w:r>
        <w:t xml:space="preserve">☐ Ninguna cifra o afirmación de resultado aparece sin haber sido verificada.</w:t>
      </w:r>
    </w:p>
    <w:p>
      <w:pPr>
        <w:numPr>
          <w:ilvl w:val="0"/>
          <w:numId w:val="1001"/>
        </w:numPr>
        <w:pStyle w:val="Compact"/>
      </w:pPr>
      <w:r>
        <w:t xml:space="preserve">☐ Si el vídeo cae en alguno de los supuestos del artículo 50 del Reglamento (UE) 2024/1689 (por ejemplo, contenido sintético que pudiera confundirse con un hecho real), se declara el uso de IA conforme a esa normativa.</w:t>
      </w:r>
    </w:p>
    <w:p>
      <w:pPr>
        <w:numPr>
          <w:ilvl w:val="0"/>
          <w:numId w:val="1001"/>
        </w:numPr>
        <w:pStyle w:val="Compact"/>
      </w:pPr>
      <w:r>
        <w:t xml:space="preserve">☐ Ninguna escena pretende ser prueba de un hecho, lugar, posesión o resultado que no sea real.</w:t>
      </w:r>
    </w:p>
    <w:p>
      <w:pPr>
        <w:numPr>
          <w:ilvl w:val="0"/>
          <w:numId w:val="1001"/>
        </w:numPr>
        <w:pStyle w:val="Compact"/>
      </w:pPr>
      <w:r>
        <w:t xml:space="preserve">☐ El lenguaje evita las promesas descartadas en el Capítulo 1: dinero fácil, cifras garantizadas, urgencia artificial.</w:t>
      </w:r>
    </w:p>
    <w:p>
      <w:pPr>
        <w:pStyle w:val="FirstParagraph"/>
      </w:pPr>
      <w:r>
        <w:t xml:space="preserve">Este checklist no ralentiza la producción por lotes del Capítulo 13 — se aplica una vez por bloque, no vídeo a vídeo, igual que la revisión del Día 6 del Proyecto 30.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PRODUCCIÓN — CLIPS VERTICALES 9:16 CON IA</dc:title>
  <dc:creator>Albert Sierra</dc:creator>
  <cp:keywords/>
  <dcterms:created xsi:type="dcterms:W3CDTF">2026-08-14T08:36:03Z</dcterms:created>
  <dcterms:modified xsi:type="dcterms:W3CDTF">2026-08-14T08:36:03Z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Flujo técnico para el sistema de contenido de IA Ingresos 30</vt:lpwstr>
  </property>
</Properties>
</file>