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Strategic Financing Decision Framework</w:t>
      </w:r>
    </w:p>
    <w:p>
      <w:pPr>
        <w:spacing w:after="40"/>
        <w:jc w:val="center"/>
      </w:pPr>
      <w:r>
        <w:rPr>
          <w:i/>
          <w:iCs/>
          <w:color w:val="555555"/>
          <w:sz w:val="26"/>
          <w:szCs w:val="26"/>
        </w:rPr>
        <w:t xml:space="preserve">(SFDF) — Version 1.0</w:t>
      </w:r>
    </w:p>
    <w:p>
      <w:pPr>
        <w:spacing w:after="360"/>
        <w:jc w:val="center"/>
      </w:pPr>
      <w:r>
        <w:rPr>
          <w:color w:val="777777"/>
          <w:sz w:val="22"/>
          <w:szCs w:val="22"/>
        </w:rPr>
        <w:t xml:space="preserve">A decision-support artifact for early-stage tech founders choosing between bootstrapping and equity financing</w:t>
      </w:r>
    </w:p>
    <w:p>
      <w:pPr>
        <w:spacing w:after="120"/>
        <w:jc w:val="center"/>
      </w:pPr>
      <w:r>
        <w:rPr>
          <w:color w:val="777777"/>
          <w:sz w:val="20"/>
          <w:szCs w:val="20"/>
        </w:rPr>
        <w:t xml:space="preserve">MIETE Dissertation — Sifat | FEUP/FEP, U.Porto</w:t>
      </w:r>
    </w:p>
    <w:p>
      <w:pPr>
        <w:spacing w:after="480"/>
        <w:jc w:val="center"/>
      </w:pPr>
      <w:r>
        <w:rPr>
          <w:color w:val="777777"/>
          <w:sz w:val="20"/>
          <w:szCs w:val="20"/>
        </w:rPr>
        <w:t xml:space="preserve">Supervisor: Prof. José Miguel Oliveira</w:t>
      </w:r>
    </w:p>
    <w:p>
      <w:pPr>
        <w:pStyle w:val="Heading1"/>
        <w:spacing w:after="200" w:before="360"/>
      </w:pPr>
      <w:r>
        <w:t xml:space="preserve">1. Purpose and Theoretical Foundation</w:t>
      </w:r>
    </w:p>
    <w:p>
      <w:pPr>
        <w:spacing w:after="120" w:line="300"/>
      </w:pPr>
      <w:r>
        <w:t xml:space="preserve">The Strategic Financing Decision Framework (SFDF) is a structured decision-support artifact developed through Design Science Research (Hevner et al., 2004; Peffers et al., 2007). Its purpose is to help an early-stage technology founder reason systematically about whether bootstrapping or equity financing better fits their venture's situation, given the trade-offs in financial control, ownership dilution, growth velocity, and access to non-capital resources.</w:t>
      </w:r>
    </w:p>
    <w:p>
      <w:pPr>
        <w:spacing w:after="120" w:line="300"/>
      </w:pPr>
      <w:r>
        <w:t xml:space="preserve">The framework is theoretically grounded in two complementary lenses:</w:t>
      </w:r>
    </w:p>
    <w:p>
      <w:pPr>
        <w:pStyle w:val="ListParagraph"/>
        <w:numPr>
          <w:ilvl w:val="0"/>
          <w:numId w:val="2"/>
        </w:numPr>
        <w:spacing w:after="80" w:line="280"/>
      </w:pPr>
      <w:r>
        <w:rPr>
          <w:b/>
          <w:bCs/>
        </w:rPr>
        <w:t xml:space="preserve">Agency Theory </w:t>
      </w:r>
      <w:r>
        <w:t xml:space="preserve">(Jensen &amp; Meckling, 1976) — illuminates the principal-agent tensions introduced when external equity is raised, particularly around control rights, governance, and information asymmetry between founders and investors.</w:t>
      </w:r>
    </w:p>
    <w:p>
      <w:pPr>
        <w:pStyle w:val="ListParagraph"/>
        <w:numPr>
          <w:ilvl w:val="0"/>
          <w:numId w:val="2"/>
        </w:numPr>
        <w:spacing w:after="80" w:line="280"/>
      </w:pPr>
      <w:r>
        <w:rPr>
          <w:b/>
          <w:bCs/>
        </w:rPr>
        <w:t xml:space="preserve">Resource Dependence Theory </w:t>
      </w:r>
      <w:r>
        <w:t xml:space="preserve">(Pfeffer &amp; Salancik, 1978) — explains why founders may rationally choose equity despite dilution, when external investors offer access to scarce, value-creating resources (networks, hiring, governance, market signaling) that bootstrapping cannot provide.</w:t>
      </w:r>
    </w:p>
    <w:p>
      <w:pPr>
        <w:spacing w:after="120" w:line="300"/>
      </w:pPr>
      <w:r>
        <w:t xml:space="preserve">Together, these lenses frame the central trade-off: equity buys access to scarce resources at the cost of agency drag and dilution; bootstrapping preserves control at the cost of growth velocity and resource access. The SFDF makes this trade-off legible to founders by structuring the decision around fifteen contextual factors grounded in the empirical literature.</w:t>
      </w:r>
    </w:p>
    <w:p>
      <w:pPr>
        <w:spacing w:after="120" w:line="300"/>
      </w:pPr>
      <w:r>
        <w:rPr>
          <w:b/>
          <w:bCs/>
        </w:rPr>
        <w:t xml:space="preserve">Important framing note: </w:t>
      </w:r>
      <w:r>
        <w:rPr>
          <w:i/>
          <w:iCs/>
        </w:rPr>
        <w:t xml:space="preserve">The SFDF is a directional decision-support tool, not a prescriptive algorithm. It produces a recommended zone, not a verdict. The output is intended to surface tensions and trade-offs the founder should reason through, ideally with an advisor.</w:t>
      </w:r>
    </w:p>
    <w:p>
      <w:pPr>
        <w:pStyle w:val="Heading1"/>
        <w:spacing w:after="200" w:before="360"/>
      </w:pPr>
      <w:r>
        <w:t xml:space="preserve">2. Framework Structure</w:t>
      </w:r>
    </w:p>
    <w:p>
      <w:pPr>
        <w:spacing w:after="120" w:line="300"/>
      </w:pPr>
      <w:r>
        <w:t xml:space="preserve">The SFDF has four layers, each described in detail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Layer</w:t>
            </w:r>
          </w:p>
        </w:tc>
        <w:tc>
          <w:tcPr>
            <w:tcW w:type="dxa" w:w="24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What it does</w:t>
            </w:r>
          </w:p>
        </w:tc>
        <w:tc>
          <w:tcPr>
            <w:tcW w:type="dxa" w:w="576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Key reference / output</w:t>
            </w:r>
          </w:p>
        </w:tc>
      </w:tr>
      <w:tr>
        <w:tc>
          <w:tcPr>
            <w:tcW w:type="dxa" w:w="12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Layer 1</w:t>
            </w:r>
          </w:p>
        </w:tc>
        <w:tc>
          <w:tcPr>
            <w:tcW w:type="dxa" w:w="24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Contextual Factors (inputs)</w:t>
            </w:r>
          </w:p>
        </w:tc>
        <w:tc>
          <w:tcPr>
            <w:tcW w:type="dxa" w:w="57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15 factors across four dimensions, each grounded in the SLR</w:t>
            </w:r>
          </w:p>
        </w:tc>
      </w:tr>
      <w:tr>
        <w:tc>
          <w:tcPr>
            <w:tcW w:type="dxa" w:w="12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Layer 2</w:t>
            </w:r>
          </w:p>
        </w:tc>
        <w:tc>
          <w:tcPr>
            <w:tcW w:type="dxa" w:w="24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Scoring Mechanism</w:t>
            </w:r>
          </w:p>
        </w:tc>
        <w:tc>
          <w:tcPr>
            <w:tcW w:type="dxa" w:w="57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1–5 Likert score per factor → weighted B/E pull</w:t>
            </w:r>
          </w:p>
        </w:tc>
      </w:tr>
      <w:tr>
        <w:tc>
          <w:tcPr>
            <w:tcW w:type="dxa" w:w="12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Layer 3</w:t>
            </w:r>
          </w:p>
        </w:tc>
        <w:tc>
          <w:tcPr>
            <w:tcW w:type="dxa" w:w="24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Decision Logic</w:t>
            </w:r>
          </w:p>
        </w:tc>
        <w:tc>
          <w:tcPr>
            <w:tcW w:type="dxa" w:w="57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Maps total score to one of four recommendation zones</w:t>
            </w:r>
          </w:p>
        </w:tc>
      </w:tr>
      <w:tr>
        <w:tc>
          <w:tcPr>
            <w:tcW w:type="dxa" w:w="12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Layer 4</w:t>
            </w:r>
          </w:p>
        </w:tc>
        <w:tc>
          <w:tcPr>
            <w:tcW w:type="dxa" w:w="24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Decision Brief (output)</w:t>
            </w:r>
          </w:p>
        </w:tc>
        <w:tc>
          <w:tcPr>
            <w:tcW w:type="dxa" w:w="57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One-page summary: zone, drivers, watch-outs, suggested next actions</w:t>
            </w:r>
          </w:p>
        </w:tc>
      </w:tr>
    </w:tbl>
    <w:p>
      <w:r>
        <w:br w:type="page"/>
      </w:r>
    </w:p>
    <w:p>
      <w:pPr>
        <w:pStyle w:val="Heading1"/>
        <w:spacing w:after="200" w:before="360"/>
      </w:pPr>
      <w:r>
        <w:t xml:space="preserve">3. Layer 1 — Contextual Factors</w:t>
      </w:r>
    </w:p>
    <w:p>
      <w:pPr>
        <w:spacing w:after="120" w:line="300"/>
      </w:pPr>
      <w:r>
        <w:t xml:space="preserve">Fifteen factors are organised into four dimensions: Founder &amp; Team, Venture, Market, and Strategic. Each factor is operationalised on a 1–5 Likert scale and tagged to a literature anchor. The direction of the score's contribution (Bootstrapping-favourable "B" or Equity-favourable "E") is fixed by theory; the magnitude is set by the founder's self-assessment.</w:t>
      </w:r>
    </w:p>
    <w:p>
      <w:pPr>
        <w:pStyle w:val="Heading2"/>
        <w:spacing w:after="160" w:before="280"/>
      </w:pPr>
      <w:r>
        <w:t xml:space="preserve">3.1 Dimension A — Founder &amp; Team (4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200"/>
        <w:gridCol w:w="1500"/>
        <w:gridCol w:w="2800"/>
        <w:gridCol w:w="1310"/>
        <w:gridCol w:w="1000"/>
      </w:tblGrid>
      <w:tr>
        <w:tc>
          <w:tcPr>
            <w:tcW w:type="dxa" w:w="55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w:t>
            </w:r>
          </w:p>
        </w:tc>
        <w:tc>
          <w:tcPr>
            <w:tcW w:type="dxa" w:w="22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Factor</w:t>
            </w:r>
          </w:p>
        </w:tc>
        <w:tc>
          <w:tcPr>
            <w:tcW w:type="dxa" w:w="15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Scale (1 → 5)</w:t>
            </w:r>
          </w:p>
        </w:tc>
        <w:tc>
          <w:tcPr>
            <w:tcW w:type="dxa" w:w="28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Operationalisation</w:t>
            </w:r>
          </w:p>
        </w:tc>
        <w:tc>
          <w:tcPr>
            <w:tcW w:type="dxa" w:w="131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Direction</w:t>
            </w:r>
          </w:p>
        </w:tc>
        <w:tc>
          <w:tcPr>
            <w:tcW w:type="dxa" w:w="10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Anchor</w:t>
            </w:r>
          </w:p>
        </w:tc>
      </w:tr>
      <w:tr>
        <w:tc>
          <w:tcPr>
            <w:tcW w:type="dxa" w:w="55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A1</w:t>
            </w:r>
          </w:p>
        </w:tc>
        <w:tc>
          <w:tcPr>
            <w:tcW w:type="dxa" w:w="22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Risk tolerance</w:t>
            </w:r>
          </w:p>
        </w:tc>
        <w:tc>
          <w:tcPr>
            <w:tcW w:type="dxa" w:w="15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1=very low → 5=very high</w:t>
            </w:r>
          </w:p>
        </w:tc>
        <w:tc>
          <w:tcPr>
            <w:tcW w:type="dxa" w:w="28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Founder's psychological and financial willingness to absorb personal risk (savings, opportunity cost, family exposure).</w:t>
            </w:r>
          </w:p>
        </w:tc>
        <w:tc>
          <w:tcPr>
            <w:tcW w:type="dxa" w:w="131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Higher → B</w:t>
            </w:r>
          </w:p>
        </w:tc>
        <w:tc>
          <w:tcPr>
            <w:tcW w:type="dxa" w:w="1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Wasserman (2017)</w:t>
            </w:r>
          </w:p>
        </w:tc>
      </w:tr>
      <w:tr>
        <w:tc>
          <w:tcPr>
            <w:tcW w:type="dxa" w:w="55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A2</w:t>
            </w:r>
          </w:p>
        </w:tc>
        <w:tc>
          <w:tcPr>
            <w:tcW w:type="dxa" w:w="22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Control preference</w:t>
            </w:r>
          </w:p>
        </w:tc>
        <w:tc>
          <w:tcPr>
            <w:tcW w:type="dxa" w:w="15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1=growth-first → 5=autonomy-first</w:t>
            </w:r>
          </w:p>
        </w:tc>
        <w:tc>
          <w:tcPr>
            <w:tcW w:type="dxa" w:w="28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How strongly the founder values retaining decision rights and avoiding board oversight.</w:t>
            </w:r>
          </w:p>
        </w:tc>
        <w:tc>
          <w:tcPr>
            <w:tcW w:type="dxa" w:w="131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Higher → B</w:t>
            </w:r>
          </w:p>
        </w:tc>
        <w:tc>
          <w:tcPr>
            <w:tcW w:type="dxa" w:w="1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Wasserman (2017); Hellmann &amp; Puri (2002)</w:t>
            </w:r>
          </w:p>
        </w:tc>
      </w:tr>
      <w:tr>
        <w:tc>
          <w:tcPr>
            <w:tcW w:type="dxa" w:w="55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A3</w:t>
            </w:r>
          </w:p>
        </w:tc>
        <w:tc>
          <w:tcPr>
            <w:tcW w:type="dxa" w:w="22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Domain experience</w:t>
            </w:r>
          </w:p>
        </w:tc>
        <w:tc>
          <w:tcPr>
            <w:tcW w:type="dxa" w:w="15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1=first-time → 5=multiple prior exits</w:t>
            </w:r>
          </w:p>
        </w:tc>
        <w:tc>
          <w:tcPr>
            <w:tcW w:type="dxa" w:w="28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Founder's prior experience in the target sector, including past startup outcomes.</w:t>
            </w:r>
          </w:p>
        </w:tc>
        <w:tc>
          <w:tcPr>
            <w:tcW w:type="dxa" w:w="131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Higher → B</w:t>
            </w:r>
          </w:p>
        </w:tc>
        <w:tc>
          <w:tcPr>
            <w:tcW w:type="dxa" w:w="1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Kaplan &amp; Strömberg (2003)</w:t>
            </w:r>
          </w:p>
        </w:tc>
      </w:tr>
      <w:tr>
        <w:tc>
          <w:tcPr>
            <w:tcW w:type="dxa" w:w="55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A4</w:t>
            </w:r>
          </w:p>
        </w:tc>
        <w:tc>
          <w:tcPr>
            <w:tcW w:type="dxa" w:w="22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Personal runway</w:t>
            </w:r>
          </w:p>
        </w:tc>
        <w:tc>
          <w:tcPr>
            <w:tcW w:type="dxa" w:w="15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1=&lt;3 months → 5=24+ months</w:t>
            </w:r>
          </w:p>
        </w:tc>
        <w:tc>
          <w:tcPr>
            <w:tcW w:type="dxa" w:w="28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Months of personal savings or alternative income available without venture revenue.</w:t>
            </w:r>
          </w:p>
        </w:tc>
        <w:tc>
          <w:tcPr>
            <w:tcW w:type="dxa" w:w="131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Higher → B</w:t>
            </w:r>
          </w:p>
        </w:tc>
        <w:tc>
          <w:tcPr>
            <w:tcW w:type="dxa" w:w="1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Bhidé (2000); Winborg &amp; Landström (2001)</w:t>
            </w:r>
          </w:p>
        </w:tc>
      </w:tr>
    </w:tbl>
    <w:p>
      <w:pPr>
        <w:pStyle w:val="Heading2"/>
        <w:spacing w:after="160" w:before="280"/>
      </w:pPr>
      <w:r>
        <w:t xml:space="preserve">3.2 Dimension B — Venture (4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200"/>
        <w:gridCol w:w="1500"/>
        <w:gridCol w:w="2800"/>
        <w:gridCol w:w="1310"/>
        <w:gridCol w:w="1000"/>
      </w:tblGrid>
      <w:tr>
        <w:tc>
          <w:tcPr>
            <w:tcW w:type="dxa" w:w="55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w:t>
            </w:r>
          </w:p>
        </w:tc>
        <w:tc>
          <w:tcPr>
            <w:tcW w:type="dxa" w:w="22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Factor</w:t>
            </w:r>
          </w:p>
        </w:tc>
        <w:tc>
          <w:tcPr>
            <w:tcW w:type="dxa" w:w="15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Scale (1 → 5)</w:t>
            </w:r>
          </w:p>
        </w:tc>
        <w:tc>
          <w:tcPr>
            <w:tcW w:type="dxa" w:w="28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Operationalisation</w:t>
            </w:r>
          </w:p>
        </w:tc>
        <w:tc>
          <w:tcPr>
            <w:tcW w:type="dxa" w:w="131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Direction</w:t>
            </w:r>
          </w:p>
        </w:tc>
        <w:tc>
          <w:tcPr>
            <w:tcW w:type="dxa" w:w="10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Anchor</w:t>
            </w:r>
          </w:p>
        </w:tc>
      </w:tr>
      <w:tr>
        <w:tc>
          <w:tcPr>
            <w:tcW w:type="dxa" w:w="55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B1</w:t>
            </w:r>
          </w:p>
        </w:tc>
        <w:tc>
          <w:tcPr>
            <w:tcW w:type="dxa" w:w="22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Capital intensity</w:t>
            </w:r>
          </w:p>
        </w:tc>
        <w:tc>
          <w:tcPr>
            <w:tcW w:type="dxa" w:w="15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1=very low → 5=very high</w:t>
            </w:r>
          </w:p>
        </w:tc>
        <w:tc>
          <w:tcPr>
            <w:tcW w:type="dxa" w:w="28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Estimated cumulative capital required to reach product-market fit (servers, hardware, regulatory, clinical trials, etc.).</w:t>
            </w:r>
          </w:p>
        </w:tc>
        <w:tc>
          <w:tcPr>
            <w:tcW w:type="dxa" w:w="131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Higher → E</w:t>
            </w:r>
          </w:p>
        </w:tc>
        <w:tc>
          <w:tcPr>
            <w:tcW w:type="dxa" w:w="1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Kaplan &amp; Strömberg (2003)</w:t>
            </w:r>
          </w:p>
        </w:tc>
      </w:tr>
      <w:tr>
        <w:tc>
          <w:tcPr>
            <w:tcW w:type="dxa" w:w="55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B2</w:t>
            </w:r>
          </w:p>
        </w:tc>
        <w:tc>
          <w:tcPr>
            <w:tcW w:type="dxa" w:w="22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Time-to-revenue</w:t>
            </w:r>
          </w:p>
        </w:tc>
        <w:tc>
          <w:tcPr>
            <w:tcW w:type="dxa" w:w="15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1=&lt;3 months → 5=24+ months</w:t>
            </w:r>
          </w:p>
        </w:tc>
        <w:tc>
          <w:tcPr>
            <w:tcW w:type="dxa" w:w="28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Expected time from current state to first paying customer at meaningful volume.</w:t>
            </w:r>
          </w:p>
        </w:tc>
        <w:tc>
          <w:tcPr>
            <w:tcW w:type="dxa" w:w="131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Higher → E</w:t>
            </w:r>
          </w:p>
        </w:tc>
        <w:tc>
          <w:tcPr>
            <w:tcW w:type="dxa" w:w="1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Hellmann &amp; Puri (2002)</w:t>
            </w:r>
          </w:p>
        </w:tc>
      </w:tr>
      <w:tr>
        <w:tc>
          <w:tcPr>
            <w:tcW w:type="dxa" w:w="55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B3</w:t>
            </w:r>
          </w:p>
        </w:tc>
        <w:tc>
          <w:tcPr>
            <w:tcW w:type="dxa" w:w="22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Existing traction</w:t>
            </w:r>
          </w:p>
        </w:tc>
        <w:tc>
          <w:tcPr>
            <w:tcW w:type="dxa" w:w="15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1=idea only → 5=scaling revenue</w:t>
            </w:r>
          </w:p>
        </w:tc>
        <w:tc>
          <w:tcPr>
            <w:tcW w:type="dxa" w:w="28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Current evidence of demand: signed LOIs, paying customers, MRR, retention.</w:t>
            </w:r>
          </w:p>
        </w:tc>
        <w:tc>
          <w:tcPr>
            <w:tcW w:type="dxa" w:w="131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Higher → B</w:t>
            </w:r>
          </w:p>
        </w:tc>
        <w:tc>
          <w:tcPr>
            <w:tcW w:type="dxa" w:w="1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Kaplan &amp; Strömberg (2003)</w:t>
            </w:r>
          </w:p>
        </w:tc>
      </w:tr>
      <w:tr>
        <w:tc>
          <w:tcPr>
            <w:tcW w:type="dxa" w:w="55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B4</w:t>
            </w:r>
          </w:p>
        </w:tc>
        <w:tc>
          <w:tcPr>
            <w:tcW w:type="dxa" w:w="22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Defensibility / IP</w:t>
            </w:r>
          </w:p>
        </w:tc>
        <w:tc>
          <w:tcPr>
            <w:tcW w:type="dxa" w:w="15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1=no moat → 5=strong defensibility</w:t>
            </w:r>
          </w:p>
        </w:tc>
        <w:tc>
          <w:tcPr>
            <w:tcW w:type="dxa" w:w="28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Patentable technology, regulatory barriers, data moats, network effects.</w:t>
            </w:r>
          </w:p>
        </w:tc>
        <w:tc>
          <w:tcPr>
            <w:tcW w:type="dxa" w:w="131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Higher → E</w:t>
            </w:r>
          </w:p>
        </w:tc>
        <w:tc>
          <w:tcPr>
            <w:tcW w:type="dxa" w:w="1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Hellmann &amp; Puri (2002)</w:t>
            </w:r>
          </w:p>
        </w:tc>
      </w:tr>
    </w:tbl>
    <w:p>
      <w:pPr>
        <w:pStyle w:val="Heading2"/>
        <w:spacing w:after="160" w:before="280"/>
      </w:pPr>
      <w:r>
        <w:t xml:space="preserve">3.3 Dimension C — Market (3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200"/>
        <w:gridCol w:w="1500"/>
        <w:gridCol w:w="2800"/>
        <w:gridCol w:w="1310"/>
        <w:gridCol w:w="1000"/>
      </w:tblGrid>
      <w:tr>
        <w:tc>
          <w:tcPr>
            <w:tcW w:type="dxa" w:w="55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w:t>
            </w:r>
          </w:p>
        </w:tc>
        <w:tc>
          <w:tcPr>
            <w:tcW w:type="dxa" w:w="22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Factor</w:t>
            </w:r>
          </w:p>
        </w:tc>
        <w:tc>
          <w:tcPr>
            <w:tcW w:type="dxa" w:w="15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Scale (1 → 5)</w:t>
            </w:r>
          </w:p>
        </w:tc>
        <w:tc>
          <w:tcPr>
            <w:tcW w:type="dxa" w:w="28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Operationalisation</w:t>
            </w:r>
          </w:p>
        </w:tc>
        <w:tc>
          <w:tcPr>
            <w:tcW w:type="dxa" w:w="131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Direction</w:t>
            </w:r>
          </w:p>
        </w:tc>
        <w:tc>
          <w:tcPr>
            <w:tcW w:type="dxa" w:w="10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Anchor</w:t>
            </w:r>
          </w:p>
        </w:tc>
      </w:tr>
      <w:tr>
        <w:tc>
          <w:tcPr>
            <w:tcW w:type="dxa" w:w="55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C1</w:t>
            </w:r>
          </w:p>
        </w:tc>
        <w:tc>
          <w:tcPr>
            <w:tcW w:type="dxa" w:w="22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Market timing pressure</w:t>
            </w:r>
          </w:p>
        </w:tc>
        <w:tc>
          <w:tcPr>
            <w:tcW w:type="dxa" w:w="15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1=patient market → 5=winner-takes-most</w:t>
            </w:r>
          </w:p>
        </w:tc>
        <w:tc>
          <w:tcPr>
            <w:tcW w:type="dxa" w:w="28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How quickly market position must be established before competitors lock it in.</w:t>
            </w:r>
          </w:p>
        </w:tc>
        <w:tc>
          <w:tcPr>
            <w:tcW w:type="dxa" w:w="131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Higher → E</w:t>
            </w:r>
          </w:p>
        </w:tc>
        <w:tc>
          <w:tcPr>
            <w:tcW w:type="dxa" w:w="1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Hellmann &amp; Puri (2002)</w:t>
            </w:r>
          </w:p>
        </w:tc>
      </w:tr>
      <w:tr>
        <w:tc>
          <w:tcPr>
            <w:tcW w:type="dxa" w:w="55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C2</w:t>
            </w:r>
          </w:p>
        </w:tc>
        <w:tc>
          <w:tcPr>
            <w:tcW w:type="dxa" w:w="22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Competitive density</w:t>
            </w:r>
          </w:p>
        </w:tc>
        <w:tc>
          <w:tcPr>
            <w:tcW w:type="dxa" w:w="15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1=greenfield → 5=heavily contested</w:t>
            </w:r>
          </w:p>
        </w:tc>
        <w:tc>
          <w:tcPr>
            <w:tcW w:type="dxa" w:w="28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Number and capitalisation of direct competitors.</w:t>
            </w:r>
          </w:p>
        </w:tc>
        <w:tc>
          <w:tcPr>
            <w:tcW w:type="dxa" w:w="131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Higher → E</w:t>
            </w:r>
          </w:p>
        </w:tc>
        <w:tc>
          <w:tcPr>
            <w:tcW w:type="dxa" w:w="1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Kaplan &amp; Strömberg (2003)</w:t>
            </w:r>
          </w:p>
        </w:tc>
      </w:tr>
      <w:tr>
        <w:tc>
          <w:tcPr>
            <w:tcW w:type="dxa" w:w="55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C3</w:t>
            </w:r>
          </w:p>
        </w:tc>
        <w:tc>
          <w:tcPr>
            <w:tcW w:type="dxa" w:w="22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Customer acquisition cost trajectory</w:t>
            </w:r>
          </w:p>
        </w:tc>
        <w:tc>
          <w:tcPr>
            <w:tcW w:type="dxa" w:w="15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1=organic / low CAC → 5=paid / high CAC</w:t>
            </w:r>
          </w:p>
        </w:tc>
        <w:tc>
          <w:tcPr>
            <w:tcW w:type="dxa" w:w="28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Reliance on paid acquisition channels; sensitivity to ad-spend.</w:t>
            </w:r>
          </w:p>
        </w:tc>
        <w:tc>
          <w:tcPr>
            <w:tcW w:type="dxa" w:w="131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Higher → E</w:t>
            </w:r>
          </w:p>
        </w:tc>
        <w:tc>
          <w:tcPr>
            <w:tcW w:type="dxa" w:w="1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SLR synthesis</w:t>
            </w:r>
          </w:p>
        </w:tc>
      </w:tr>
    </w:tbl>
    <w:p>
      <w:pPr>
        <w:pStyle w:val="Heading2"/>
        <w:spacing w:after="160" w:before="280"/>
      </w:pPr>
      <w:r>
        <w:t xml:space="preserve">3.4 Dimension D — Strategic (4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200"/>
        <w:gridCol w:w="1500"/>
        <w:gridCol w:w="2800"/>
        <w:gridCol w:w="1310"/>
        <w:gridCol w:w="1000"/>
      </w:tblGrid>
      <w:tr>
        <w:tc>
          <w:tcPr>
            <w:tcW w:type="dxa" w:w="55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w:t>
            </w:r>
          </w:p>
        </w:tc>
        <w:tc>
          <w:tcPr>
            <w:tcW w:type="dxa" w:w="22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Factor</w:t>
            </w:r>
          </w:p>
        </w:tc>
        <w:tc>
          <w:tcPr>
            <w:tcW w:type="dxa" w:w="15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Scale (1 → 5)</w:t>
            </w:r>
          </w:p>
        </w:tc>
        <w:tc>
          <w:tcPr>
            <w:tcW w:type="dxa" w:w="28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Operationalisation</w:t>
            </w:r>
          </w:p>
        </w:tc>
        <w:tc>
          <w:tcPr>
            <w:tcW w:type="dxa" w:w="131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Direction</w:t>
            </w:r>
          </w:p>
        </w:tc>
        <w:tc>
          <w:tcPr>
            <w:tcW w:type="dxa" w:w="10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Anchor</w:t>
            </w:r>
          </w:p>
        </w:tc>
      </w:tr>
      <w:tr>
        <w:tc>
          <w:tcPr>
            <w:tcW w:type="dxa" w:w="55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D1</w:t>
            </w:r>
          </w:p>
        </w:tc>
        <w:tc>
          <w:tcPr>
            <w:tcW w:type="dxa" w:w="22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Exit horizon</w:t>
            </w:r>
          </w:p>
        </w:tc>
        <w:tc>
          <w:tcPr>
            <w:tcW w:type="dxa" w:w="15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1=long/no exit → 5=fast exit (3–5 yrs)</w:t>
            </w:r>
          </w:p>
        </w:tc>
        <w:tc>
          <w:tcPr>
            <w:tcW w:type="dxa" w:w="28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Founder's intended liquidity timeline.</w:t>
            </w:r>
          </w:p>
        </w:tc>
        <w:tc>
          <w:tcPr>
            <w:tcW w:type="dxa" w:w="131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Higher → E</w:t>
            </w:r>
          </w:p>
        </w:tc>
        <w:tc>
          <w:tcPr>
            <w:tcW w:type="dxa" w:w="1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Wasserman (2017)</w:t>
            </w:r>
          </w:p>
        </w:tc>
      </w:tr>
      <w:tr>
        <w:tc>
          <w:tcPr>
            <w:tcW w:type="dxa" w:w="55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D2</w:t>
            </w:r>
          </w:p>
        </w:tc>
        <w:tc>
          <w:tcPr>
            <w:tcW w:type="dxa" w:w="22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Growth ambition</w:t>
            </w:r>
          </w:p>
        </w:tc>
        <w:tc>
          <w:tcPr>
            <w:tcW w:type="dxa" w:w="15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1=lifestyle → 5=hypergrowth</w:t>
            </w:r>
          </w:p>
        </w:tc>
        <w:tc>
          <w:tcPr>
            <w:tcW w:type="dxa" w:w="28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Target scale: profitable small business vs. category-defining venture.</w:t>
            </w:r>
          </w:p>
        </w:tc>
        <w:tc>
          <w:tcPr>
            <w:tcW w:type="dxa" w:w="131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Higher → E</w:t>
            </w:r>
          </w:p>
        </w:tc>
        <w:tc>
          <w:tcPr>
            <w:tcW w:type="dxa" w:w="1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Wasserman (2017)</w:t>
            </w:r>
          </w:p>
        </w:tc>
      </w:tr>
      <w:tr>
        <w:tc>
          <w:tcPr>
            <w:tcW w:type="dxa" w:w="55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D3</w:t>
            </w:r>
          </w:p>
        </w:tc>
        <w:tc>
          <w:tcPr>
            <w:tcW w:type="dxa" w:w="22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Need for VC value-add</w:t>
            </w:r>
          </w:p>
        </w:tc>
        <w:tc>
          <w:tcPr>
            <w:tcW w:type="dxa" w:w="15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1=capital not needed → 5=critical for hires/network</w:t>
            </w:r>
          </w:p>
        </w:tc>
        <w:tc>
          <w:tcPr>
            <w:tcW w:type="dxa" w:w="28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Beyond cash, how much the venture needs investor networks, hiring help, governance, signaling.</w:t>
            </w:r>
          </w:p>
        </w:tc>
        <w:tc>
          <w:tcPr>
            <w:tcW w:type="dxa" w:w="131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Higher → E</w:t>
            </w:r>
          </w:p>
        </w:tc>
        <w:tc>
          <w:tcPr>
            <w:tcW w:type="dxa" w:w="1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Hellmann &amp; Puri (2002)</w:t>
            </w:r>
          </w:p>
        </w:tc>
      </w:tr>
      <w:tr>
        <w:tc>
          <w:tcPr>
            <w:tcW w:type="dxa" w:w="55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D4</w:t>
            </w:r>
          </w:p>
        </w:tc>
        <w:tc>
          <w:tcPr>
            <w:tcW w:type="dxa" w:w="22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Optionality preference</w:t>
            </w:r>
          </w:p>
        </w:tc>
        <w:tc>
          <w:tcPr>
            <w:tcW w:type="dxa" w:w="15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1=commit to one path → 5=preserve future options</w:t>
            </w:r>
          </w:p>
        </w:tc>
        <w:tc>
          <w:tcPr>
            <w:tcW w:type="dxa" w:w="28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Strategic preference for keeping flexibility (e.g., bootstrap then raise later, or stage funding).</w:t>
            </w:r>
          </w:p>
        </w:tc>
        <w:tc>
          <w:tcPr>
            <w:tcW w:type="dxa" w:w="131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Higher → B</w:t>
            </w:r>
          </w:p>
        </w:tc>
        <w:tc>
          <w:tcPr>
            <w:tcW w:type="dxa" w:w="1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Winborg &amp; Landström (2001)</w:t>
            </w:r>
          </w:p>
        </w:tc>
      </w:tr>
    </w:tbl>
    <w:p>
      <w:r>
        <w:br w:type="page"/>
      </w:r>
    </w:p>
    <w:p>
      <w:pPr>
        <w:pStyle w:val="Heading1"/>
        <w:spacing w:after="200" w:before="360"/>
      </w:pPr>
      <w:r>
        <w:t xml:space="preserve">4. Layer 2 — Scoring Mechanism</w:t>
      </w:r>
    </w:p>
    <w:p>
      <w:pPr>
        <w:spacing w:after="120" w:line="300"/>
      </w:pPr>
      <w:r>
        <w:t xml:space="preserve">The SFDF uses a transparent, weight-based scoring mechanism. Each factor receives a 1–5 score from the founder; that raw score is converted into a directional contribution and aggregated.</w:t>
      </w:r>
    </w:p>
    <w:p>
      <w:pPr>
        <w:pStyle w:val="Heading2"/>
        <w:spacing w:after="160" w:before="280"/>
      </w:pPr>
      <w:r>
        <w:t xml:space="preserve">4.1 Conversion rule</w:t>
      </w:r>
    </w:p>
    <w:p>
      <w:pPr>
        <w:spacing w:after="120" w:line="300"/>
      </w:pPr>
      <w:r>
        <w:t xml:space="preserve">Each factor's raw score is converted to a centered value:</w:t>
      </w:r>
    </w:p>
    <w:p>
      <w:pPr>
        <w:spacing w:after="120" w:line="300"/>
      </w:pPr>
      <w:r>
        <w:rPr>
          <w:b/>
          <w:bCs/>
        </w:rPr>
        <w:t xml:space="preserve">Centered = Raw − 3</w:t>
      </w:r>
      <w:r>
        <w:t xml:space="preserve">    (so a 1 contributes −2, a 3 contributes 0, a 5 contributes +2)</w:t>
      </w:r>
    </w:p>
    <w:p>
      <w:pPr>
        <w:spacing w:after="120" w:line="300"/>
      </w:pPr>
      <w:r>
        <w:t xml:space="preserve">If the factor's direction is "Higher → E" (Equity-favourable), the centered value is added to the Equity pull. If the direction is "Higher → B" (Bootstrap-favourable), the centered value is added to the Bootstrap pull. A score of 3 on any factor is neutral and contributes nothing.</w:t>
      </w:r>
    </w:p>
    <w:p>
      <w:pPr>
        <w:pStyle w:val="Heading2"/>
        <w:spacing w:after="160" w:before="280"/>
      </w:pPr>
      <w:r>
        <w:t xml:space="preserve">4.2 Weights</w:t>
      </w:r>
    </w:p>
    <w:p>
      <w:pPr>
        <w:spacing w:after="120" w:line="300"/>
      </w:pPr>
      <w:r>
        <w:t xml:space="preserve">The four dimensions are weighted to reflect their evidentiary strength in the SLR. Weights sum to 1.00 and were derived from the relative depth of empirical support across the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Dimension</w:t>
            </w:r>
          </w:p>
        </w:tc>
        <w:tc>
          <w:tcPr>
            <w:tcW w:type="dxa" w:w="15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Weight</w:t>
            </w:r>
          </w:p>
        </w:tc>
        <w:tc>
          <w:tcPr>
            <w:tcW w:type="dxa" w:w="546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Justification</w:t>
            </w:r>
          </w:p>
        </w:tc>
      </w:tr>
      <w:tr>
        <w:tc>
          <w:tcPr>
            <w:tcW w:type="dxa" w:w="24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A. Founder &amp; Team</w:t>
            </w:r>
          </w:p>
        </w:tc>
        <w:tc>
          <w:tcPr>
            <w:tcW w:type="dxa" w:w="15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0.25</w:t>
            </w:r>
          </w:p>
        </w:tc>
        <w:tc>
          <w:tcPr>
            <w:tcW w:type="dxa" w:w="54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Strong empirical base in Wasserman (2017); central to founder choice but not the sole driver.</w:t>
            </w:r>
          </w:p>
        </w:tc>
      </w:tr>
      <w:tr>
        <w:tc>
          <w:tcPr>
            <w:tcW w:type="dxa" w:w="24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B. Venture</w:t>
            </w:r>
          </w:p>
        </w:tc>
        <w:tc>
          <w:tcPr>
            <w:tcW w:type="dxa" w:w="15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0.30</w:t>
            </w:r>
          </w:p>
        </w:tc>
        <w:tc>
          <w:tcPr>
            <w:tcW w:type="dxa" w:w="54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Highest weight: capital intensity, traction, and defensibility have the strongest predictive evidence in Kaplan &amp; Strömberg (2003) and Hellmann &amp; Puri (2002).</w:t>
            </w:r>
          </w:p>
        </w:tc>
      </w:tr>
      <w:tr>
        <w:tc>
          <w:tcPr>
            <w:tcW w:type="dxa" w:w="24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C. Market</w:t>
            </w:r>
          </w:p>
        </w:tc>
        <w:tc>
          <w:tcPr>
            <w:tcW w:type="dxa" w:w="15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0.20</w:t>
            </w:r>
          </w:p>
        </w:tc>
        <w:tc>
          <w:tcPr>
            <w:tcW w:type="dxa" w:w="54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Important but more contextual; harder to operationalise consistently across sectors.</w:t>
            </w:r>
          </w:p>
        </w:tc>
      </w:tr>
      <w:tr>
        <w:tc>
          <w:tcPr>
            <w:tcW w:type="dxa" w:w="24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D. Strategic</w:t>
            </w:r>
          </w:p>
        </w:tc>
        <w:tc>
          <w:tcPr>
            <w:tcW w:type="dxa" w:w="15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0.25</w:t>
            </w:r>
          </w:p>
        </w:tc>
        <w:tc>
          <w:tcPr>
            <w:tcW w:type="dxa" w:w="54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Founder's strategic intent is decisive for the bootstrap/equity choice; well-grounded in Wasserman and Winborg &amp; Landström.</w:t>
            </w:r>
          </w:p>
        </w:tc>
      </w:tr>
    </w:tbl>
    <w:p>
      <w:pPr>
        <w:pStyle w:val="Heading2"/>
        <w:spacing w:after="160" w:before="280"/>
      </w:pPr>
      <w:r>
        <w:t xml:space="preserve">4.3 Aggregation</w:t>
      </w:r>
    </w:p>
    <w:p>
      <w:pPr>
        <w:spacing w:after="120" w:line="300"/>
      </w:pPr>
      <w:r>
        <w:t xml:space="preserve">Within each dimension, the factor contributions are averaged. The dimension averages are then combined using the weights above to produce a final B-pull and E-pull, expressed as a single Net Score:</w:t>
      </w:r>
    </w:p>
    <w:p>
      <w:pPr>
        <w:spacing w:after="120" w:line="300"/>
      </w:pPr>
      <w:r>
        <w:rPr>
          <w:b/>
          <w:bCs/>
        </w:rPr>
        <w:t xml:space="preserve">Net Score = (weighted E-pull) − (weighted B-pull)</w:t>
      </w:r>
    </w:p>
    <w:p>
      <w:pPr>
        <w:spacing w:after="120" w:line="300"/>
      </w:pPr>
      <w:r>
        <w:t xml:space="preserve">Net Score ranges from approximately −2.0 (Strong Bootstrap) to +2.0 (Strong Equity). The Excel scorer that accompanies this artifact computes all of this automatically.</w:t>
      </w:r>
    </w:p>
    <w:p>
      <w:pPr>
        <w:pStyle w:val="Heading1"/>
        <w:spacing w:after="200" w:before="360"/>
      </w:pPr>
      <w:r>
        <w:t xml:space="preserve">5. Layer 3 — Decision Logic</w:t>
      </w:r>
    </w:p>
    <w:p>
      <w:pPr>
        <w:spacing w:after="120" w:line="300"/>
      </w:pPr>
      <w:r>
        <w:t xml:space="preserve">The Net Score maps to one of four recommendation zones. The thresholds were calibrated through three test cases (described in Annex) and will be revised based on practitioner feedback during validation.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560"/>
      </w:tblGrid>
      <w:tr>
        <w:tc>
          <w:tcPr>
            <w:tcW w:type="dxa" w:w="22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Zone</w:t>
            </w:r>
          </w:p>
        </w:tc>
        <w:tc>
          <w:tcPr>
            <w:tcW w:type="dxa" w:w="17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Net Score</w:t>
            </w:r>
          </w:p>
        </w:tc>
        <w:tc>
          <w:tcPr>
            <w:tcW w:type="dxa" w:w="556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Interpretation</w:t>
            </w:r>
          </w:p>
        </w:tc>
      </w:tr>
      <w:tr>
        <w:tc>
          <w:tcPr>
            <w:tcW w:type="dxa" w:w="22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Strong Bootstrap</w:t>
            </w:r>
          </w:p>
        </w:tc>
        <w:tc>
          <w:tcPr>
            <w:tcW w:type="dxa" w:w="17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 −1.0</w:t>
            </w:r>
          </w:p>
        </w:tc>
        <w:tc>
          <w:tcPr>
            <w:tcW w:type="dxa" w:w="55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Bootstrap with intent. Equity now would over-dilute relative to actual capital need. Prioritise revenue-financing instruments, customer pre-payments, and grants (Winborg &amp; Landström, 2001).</w:t>
            </w:r>
          </w:p>
        </w:tc>
      </w:tr>
      <w:tr>
        <w:tc>
          <w:tcPr>
            <w:tcW w:type="dxa" w:w="22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Bootstrap-leaning</w:t>
            </w:r>
          </w:p>
        </w:tc>
        <w:tc>
          <w:tcPr>
            <w:tcW w:type="dxa" w:w="17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−1.0 to −0.2</w:t>
            </w:r>
          </w:p>
        </w:tc>
        <w:tc>
          <w:tcPr>
            <w:tcW w:type="dxa" w:w="55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Bootstrap initially. Design for an option to raise later when traction de-risks the round and improves valuation. Track which Equity-pull factors might shift over the next 12 months.</w:t>
            </w:r>
          </w:p>
        </w:tc>
      </w:tr>
      <w:tr>
        <w:tc>
          <w:tcPr>
            <w:tcW w:type="dxa" w:w="22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Equity-leaning</w:t>
            </w:r>
          </w:p>
        </w:tc>
        <w:tc>
          <w:tcPr>
            <w:tcW w:type="dxa" w:w="17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+0.2 to +1.0</w:t>
            </w:r>
          </w:p>
        </w:tc>
        <w:tc>
          <w:tcPr>
            <w:tcW w:type="dxa" w:w="55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Raise, but stage it (pre-seed, then seed). Prioritise investor fit on Hellmann &amp; Puri (2002) value-add criteria (network, hiring, governance) — not just valuation.</w:t>
            </w:r>
          </w:p>
        </w:tc>
      </w:tr>
      <w:tr>
        <w:tc>
          <w:tcPr>
            <w:tcW w:type="dxa" w:w="22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Strong Equity</w:t>
            </w:r>
          </w:p>
        </w:tc>
        <w:tc>
          <w:tcPr>
            <w:tcW w:type="dxa" w:w="17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 +1.0</w:t>
            </w:r>
          </w:p>
        </w:tc>
        <w:tc>
          <w:tcPr>
            <w:tcW w:type="dxa" w:w="55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Raise meaningful capital. Capital intensity, market timing, or competitive density makes bootstrapping a strategic liability. Accept dilution as the cost of velocity and resource access.</w:t>
            </w:r>
          </w:p>
        </w:tc>
      </w:tr>
    </w:tbl>
    <w:p>
      <w:pPr>
        <w:spacing w:after="120" w:line="300"/>
      </w:pPr>
      <w:r>
        <w:t xml:space="preserve">Net Scores between −0.2 and +0.2 indicate genuine ambiguity — the founder should explicitly model both scenarios with a financial advisor before committing.</w:t>
      </w:r>
    </w:p>
    <w:p>
      <w:r>
        <w:br w:type="page"/>
      </w:r>
    </w:p>
    <w:p>
      <w:pPr>
        <w:pStyle w:val="Heading1"/>
        <w:spacing w:after="200" w:before="360"/>
      </w:pPr>
      <w:r>
        <w:t xml:space="preserve">6. Layer 4 — Decision Brief (Output)</w:t>
      </w:r>
    </w:p>
    <w:p>
      <w:pPr>
        <w:spacing w:after="120" w:line="300"/>
      </w:pPr>
      <w:r>
        <w:t xml:space="preserve">The SFDF's output is not a single recommendation. It is a one-page Decision Brief structured to surface the reasoning behind the recommendation, including the strongest tensions in the founder's situation.</w:t>
      </w:r>
    </w:p>
    <w:p>
      <w:pPr>
        <w:pStyle w:val="Heading2"/>
        <w:spacing w:after="160" w:before="280"/>
      </w:pPr>
      <w:r>
        <w:t xml:space="preserve">6.1 Decision Brief structure</w:t>
      </w:r>
    </w:p>
    <w:p>
      <w:pPr>
        <w:pStyle w:val="ListParagraph"/>
        <w:numPr>
          <w:ilvl w:val="0"/>
          <w:numId w:val="3"/>
        </w:numPr>
        <w:spacing w:after="80" w:line="280"/>
      </w:pPr>
      <w:r>
        <w:rPr>
          <w:b/>
          <w:bCs/>
        </w:rPr>
        <w:t xml:space="preserve">Recommendation zone </w:t>
      </w:r>
      <w:r>
        <w:t xml:space="preserve">— one of four (Strong Bootstrap / Bootstrap-leaning / Equity-leaning / Strong Equity).</w:t>
      </w:r>
    </w:p>
    <w:p>
      <w:pPr>
        <w:pStyle w:val="ListParagraph"/>
        <w:numPr>
          <w:ilvl w:val="0"/>
          <w:numId w:val="3"/>
        </w:numPr>
        <w:spacing w:after="80" w:line="280"/>
      </w:pPr>
      <w:r>
        <w:rPr>
          <w:b/>
          <w:bCs/>
        </w:rPr>
        <w:t xml:space="preserve">Top three drivers </w:t>
      </w:r>
      <w:r>
        <w:t xml:space="preserve">— the three factors with the largest contribution to the Net Score, with their direction and a one-sentence interpretation.</w:t>
      </w:r>
    </w:p>
    <w:p>
      <w:pPr>
        <w:pStyle w:val="ListParagraph"/>
        <w:numPr>
          <w:ilvl w:val="0"/>
          <w:numId w:val="3"/>
        </w:numPr>
        <w:spacing w:after="80" w:line="280"/>
      </w:pPr>
      <w:r>
        <w:rPr>
          <w:b/>
          <w:bCs/>
        </w:rPr>
        <w:t xml:space="preserve">Top two watch-outs </w:t>
      </w:r>
      <w:r>
        <w:t xml:space="preserve">— the two factors most in tension with the recommendation. These represent the strongest reasons to reconsider the suggested path.</w:t>
      </w:r>
    </w:p>
    <w:p>
      <w:pPr>
        <w:pStyle w:val="ListParagraph"/>
        <w:numPr>
          <w:ilvl w:val="0"/>
          <w:numId w:val="3"/>
        </w:numPr>
        <w:spacing w:after="80" w:line="280"/>
      </w:pPr>
      <w:r>
        <w:rPr>
          <w:b/>
          <w:bCs/>
        </w:rPr>
        <w:t xml:space="preserve">Suggested next actions </w:t>
      </w:r>
      <w:r>
        <w:t xml:space="preserve">— 3–4 concrete next steps tailored to the recommended zone (e.g., for a "Bootstrap-leaning" output: identify revenue-financing instruments, set traction milestones for a future raise, identify 5 target investors to begin relationships).</w:t>
      </w:r>
    </w:p>
    <w:p>
      <w:pPr>
        <w:pStyle w:val="Heading2"/>
        <w:spacing w:after="160" w:before="280"/>
      </w:pPr>
      <w:r>
        <w:t xml:space="preserve">6.2 What the Decision Brief deliberately does NOT do</w:t>
      </w:r>
    </w:p>
    <w:p>
      <w:pPr>
        <w:pStyle w:val="ListParagraph"/>
        <w:numPr>
          <w:ilvl w:val="0"/>
          <w:numId w:val="2"/>
        </w:numPr>
        <w:spacing w:after="80" w:line="280"/>
      </w:pPr>
      <w:r>
        <w:t xml:space="preserve">It does not output a single number or grade.</w:t>
      </w:r>
    </w:p>
    <w:p>
      <w:pPr>
        <w:pStyle w:val="ListParagraph"/>
        <w:numPr>
          <w:ilvl w:val="0"/>
          <w:numId w:val="2"/>
        </w:numPr>
        <w:spacing w:after="80" w:line="280"/>
      </w:pPr>
      <w:r>
        <w:t xml:space="preserve">It does not state "raise X million euros" or any specific funding amount.</w:t>
      </w:r>
    </w:p>
    <w:p>
      <w:pPr>
        <w:pStyle w:val="ListParagraph"/>
        <w:numPr>
          <w:ilvl w:val="0"/>
          <w:numId w:val="2"/>
        </w:numPr>
        <w:spacing w:after="80" w:line="280"/>
      </w:pPr>
      <w:r>
        <w:t xml:space="preserve">It does not recommend specific investors or firms.</w:t>
      </w:r>
    </w:p>
    <w:p>
      <w:pPr>
        <w:pStyle w:val="ListParagraph"/>
        <w:numPr>
          <w:ilvl w:val="0"/>
          <w:numId w:val="2"/>
        </w:numPr>
        <w:spacing w:after="80" w:line="280"/>
      </w:pPr>
      <w:r>
        <w:t xml:space="preserve">It does not predict outcomes or success probabilities.</w:t>
      </w:r>
    </w:p>
    <w:p>
      <w:pPr>
        <w:spacing w:after="120" w:line="300"/>
      </w:pPr>
      <w:r>
        <w:t xml:space="preserve">These omissions are deliberate. The SFDF is a structured reasoning aid, not a prescriptive engine. Its role is to organise the founder's thinking — final decisions remain with the founder and their advisors.</w:t>
      </w:r>
    </w:p>
    <w:p>
      <w:pPr>
        <w:pStyle w:val="Heading1"/>
        <w:spacing w:after="200" w:before="360"/>
      </w:pPr>
      <w:r>
        <w:t xml:space="preserve">7. Validation Plan</w:t>
      </w:r>
    </w:p>
    <w:p>
      <w:pPr>
        <w:spacing w:after="120" w:line="300"/>
      </w:pPr>
      <w:r>
        <w:t xml:space="preserve">The SFDF will be validated through a two-pass evaluation at the SIM Conference in Porto, following the FEDS framework (Venable, Pries-Heje &amp; Baskerville, 2016). The validation is described in detail in the accompanying Build &amp; Validation Plan document and summarised here:</w:t>
      </w:r>
    </w:p>
    <w:p>
      <w:pPr>
        <w:pStyle w:val="ListParagraph"/>
        <w:numPr>
          <w:ilvl w:val="0"/>
          <w:numId w:val="2"/>
        </w:numPr>
        <w:spacing w:after="80" w:line="280"/>
      </w:pPr>
      <w:r>
        <w:rPr>
          <w:b/>
          <w:bCs/>
        </w:rPr>
        <w:t xml:space="preserve">Day 1 — Naturalistic, Formative. </w:t>
      </w:r>
      <w:r>
        <w:t xml:space="preserve">Four to six structured 15–20 minute sessions with founders and investors. Feedback collected via a five-question structured form plus open notes. Focus: which factors should be added, removed, or rewritten; which weights feel wrong; whether the output zone matches practitioner intuition.</w:t>
      </w:r>
    </w:p>
    <w:p>
      <w:pPr>
        <w:pStyle w:val="ListParagraph"/>
        <w:numPr>
          <w:ilvl w:val="0"/>
          <w:numId w:val="2"/>
        </w:numPr>
        <w:spacing w:after="80" w:line="280"/>
      </w:pPr>
      <w:r>
        <w:rPr>
          <w:b/>
          <w:bCs/>
        </w:rPr>
        <w:t xml:space="preserve">Overnight iteration. </w:t>
      </w:r>
      <w:r>
        <w:t xml:space="preserve">Synthesize feedback, produce SFDF v2 with a clean changelog.</w:t>
      </w:r>
    </w:p>
    <w:p>
      <w:pPr>
        <w:pStyle w:val="ListParagraph"/>
        <w:numPr>
          <w:ilvl w:val="0"/>
          <w:numId w:val="2"/>
        </w:numPr>
        <w:spacing w:after="80" w:line="280"/>
      </w:pPr>
      <w:r>
        <w:rPr>
          <w:b/>
          <w:bCs/>
        </w:rPr>
        <w:t xml:space="preserve">Day 2 — Naturalistic, Summative. </w:t>
      </w:r>
      <w:r>
        <w:t xml:space="preserve">Track A: return visits to Day-1 respondents to confirm revisions. Track B: 3–4 fresh respondents tested on SFDF v2.</w:t>
      </w:r>
    </w:p>
    <w:p>
      <w:r>
        <w:br w:type="page"/>
      </w:r>
    </w:p>
    <w:p>
      <w:pPr>
        <w:pStyle w:val="Heading1"/>
        <w:spacing w:after="200" w:before="360"/>
      </w:pPr>
      <w:r>
        <w:t xml:space="preserve">8. Annex — Worked Examples</w:t>
      </w:r>
    </w:p>
    <w:p>
      <w:pPr>
        <w:spacing w:after="120" w:line="300"/>
      </w:pPr>
      <w:r>
        <w:t xml:space="preserve">Three test cases were constructed to calibrate the SFDF v1 thresholds. These cases will be refined as additional empirical evidence emerges from validation.</w:t>
      </w:r>
    </w:p>
    <w:p>
      <w:pPr>
        <w:pStyle w:val="Heading2"/>
        <w:spacing w:after="160" w:before="280"/>
      </w:pPr>
      <w:r>
        <w:t xml:space="preserve">8.1 Case 1 — Bootstrapped SaaS founder</w:t>
      </w:r>
    </w:p>
    <w:p>
      <w:pPr>
        <w:spacing w:after="120" w:line="300"/>
      </w:pPr>
      <w:r>
        <w:rPr>
          <w:i/>
          <w:iCs/>
        </w:rPr>
        <w:t xml:space="preserve">Profile: </w:t>
      </w:r>
      <w:r>
        <w:t xml:space="preserve">Solo technical founder, 8 years sector experience, building a vertical SaaS for a niche B2B segment. €40k personal runway, charging customers from month 3, no direct VC-backed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700"/>
        <w:gridCol w:w="3260"/>
      </w:tblGrid>
      <w:tr>
        <w:tc>
          <w:tcPr>
            <w:tcW w:type="dxa" w:w="24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Factor</w:t>
            </w:r>
          </w:p>
        </w:tc>
        <w:tc>
          <w:tcPr>
            <w:tcW w:type="dxa" w:w="20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Score</w:t>
            </w:r>
          </w:p>
        </w:tc>
        <w:tc>
          <w:tcPr>
            <w:tcW w:type="dxa" w:w="170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Direction</w:t>
            </w:r>
          </w:p>
        </w:tc>
        <w:tc>
          <w:tcPr>
            <w:tcW w:type="dxa" w:w="3260"/>
            <w:tcBorders>
              <w:top w:val="single" w:color="B0B0B0" w:sz="4"/>
              <w:left w:val="single" w:color="B0B0B0" w:sz="4"/>
              <w:bottom w:val="single" w:color="B0B0B0" w:sz="4"/>
              <w:right w:val="single" w:color="B0B0B0" w:sz="4"/>
            </w:tcBorders>
            <w:shd w:fill="1F4E79" w:val="clear"/>
            <w:tcMar>
              <w:top w:type="dxa" w:w="90"/>
              <w:left w:type="dxa" w:w="130"/>
              <w:bottom w:type="dxa" w:w="90"/>
              <w:right w:type="dxa" w:w="130"/>
            </w:tcMar>
          </w:tcPr>
          <w:p>
            <w:pPr>
              <w:spacing w:after="0"/>
              <w:jc w:val="center"/>
            </w:pPr>
            <w:r>
              <w:rPr>
                <w:b/>
                <w:bCs/>
                <w:color w:val="FFFFFF"/>
                <w:sz w:val="18"/>
                <w:szCs w:val="18"/>
              </w:rPr>
              <w:t xml:space="preserve">Note</w:t>
            </w:r>
          </w:p>
        </w:tc>
      </w:tr>
      <w:tr>
        <w:tc>
          <w:tcPr>
            <w:tcW w:type="dxa" w:w="24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A1 Risk tolerance</w:t>
            </w:r>
          </w:p>
        </w:tc>
        <w:tc>
          <w:tcPr>
            <w:tcW w:type="dxa" w:w="2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4</w:t>
            </w:r>
          </w:p>
        </w:tc>
        <w:tc>
          <w:tcPr>
            <w:tcW w:type="dxa" w:w="17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B</w:t>
            </w:r>
          </w:p>
        </w:tc>
        <w:tc>
          <w:tcPr>
            <w:tcW w:type="dxa" w:w="32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Comfortable with personal financial risk.</w:t>
            </w:r>
          </w:p>
        </w:tc>
      </w:tr>
      <w:tr>
        <w:tc>
          <w:tcPr>
            <w:tcW w:type="dxa" w:w="24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A2 Control preference</w:t>
            </w:r>
          </w:p>
        </w:tc>
        <w:tc>
          <w:tcPr>
            <w:tcW w:type="dxa" w:w="2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5</w:t>
            </w:r>
          </w:p>
        </w:tc>
        <w:tc>
          <w:tcPr>
            <w:tcW w:type="dxa" w:w="17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B</w:t>
            </w:r>
          </w:p>
        </w:tc>
        <w:tc>
          <w:tcPr>
            <w:tcW w:type="dxa" w:w="32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Strongly autonomy-driven.</w:t>
            </w:r>
          </w:p>
        </w:tc>
      </w:tr>
      <w:tr>
        <w:tc>
          <w:tcPr>
            <w:tcW w:type="dxa" w:w="24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A3 Domain experience</w:t>
            </w:r>
          </w:p>
        </w:tc>
        <w:tc>
          <w:tcPr>
            <w:tcW w:type="dxa" w:w="2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4</w:t>
            </w:r>
          </w:p>
        </w:tc>
        <w:tc>
          <w:tcPr>
            <w:tcW w:type="dxa" w:w="17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B</w:t>
            </w:r>
          </w:p>
        </w:tc>
        <w:tc>
          <w:tcPr>
            <w:tcW w:type="dxa" w:w="32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Deep sector expertise.</w:t>
            </w:r>
          </w:p>
        </w:tc>
      </w:tr>
      <w:tr>
        <w:tc>
          <w:tcPr>
            <w:tcW w:type="dxa" w:w="24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A4 Personal runway</w:t>
            </w:r>
          </w:p>
        </w:tc>
        <w:tc>
          <w:tcPr>
            <w:tcW w:type="dxa" w:w="2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3</w:t>
            </w:r>
          </w:p>
        </w:tc>
        <w:tc>
          <w:tcPr>
            <w:tcW w:type="dxa" w:w="17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B</w:t>
            </w:r>
          </w:p>
        </w:tc>
        <w:tc>
          <w:tcPr>
            <w:tcW w:type="dxa" w:w="32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12 months runway.</w:t>
            </w:r>
          </w:p>
        </w:tc>
      </w:tr>
      <w:tr>
        <w:tc>
          <w:tcPr>
            <w:tcW w:type="dxa" w:w="24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B1 Capital intensity</w:t>
            </w:r>
          </w:p>
        </w:tc>
        <w:tc>
          <w:tcPr>
            <w:tcW w:type="dxa" w:w="2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1</w:t>
            </w:r>
          </w:p>
        </w:tc>
        <w:tc>
          <w:tcPr>
            <w:tcW w:type="dxa" w:w="17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E</w:t>
            </w:r>
          </w:p>
        </w:tc>
        <w:tc>
          <w:tcPr>
            <w:tcW w:type="dxa" w:w="32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Pure software, low infra cost.</w:t>
            </w:r>
          </w:p>
        </w:tc>
      </w:tr>
      <w:tr>
        <w:tc>
          <w:tcPr>
            <w:tcW w:type="dxa" w:w="24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B2 Time-to-revenue</w:t>
            </w:r>
          </w:p>
        </w:tc>
        <w:tc>
          <w:tcPr>
            <w:tcW w:type="dxa" w:w="2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1</w:t>
            </w:r>
          </w:p>
        </w:tc>
        <w:tc>
          <w:tcPr>
            <w:tcW w:type="dxa" w:w="17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E</w:t>
            </w:r>
          </w:p>
        </w:tc>
        <w:tc>
          <w:tcPr>
            <w:tcW w:type="dxa" w:w="32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Already charging.</w:t>
            </w:r>
          </w:p>
        </w:tc>
      </w:tr>
      <w:tr>
        <w:tc>
          <w:tcPr>
            <w:tcW w:type="dxa" w:w="24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B3 Existing traction</w:t>
            </w:r>
          </w:p>
        </w:tc>
        <w:tc>
          <w:tcPr>
            <w:tcW w:type="dxa" w:w="2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4</w:t>
            </w:r>
          </w:p>
        </w:tc>
        <w:tc>
          <w:tcPr>
            <w:tcW w:type="dxa" w:w="17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B</w:t>
            </w:r>
          </w:p>
        </w:tc>
        <w:tc>
          <w:tcPr>
            <w:tcW w:type="dxa" w:w="32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Early MRR.</w:t>
            </w:r>
          </w:p>
        </w:tc>
      </w:tr>
      <w:tr>
        <w:tc>
          <w:tcPr>
            <w:tcW w:type="dxa" w:w="24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B4 Defensibility / IP</w:t>
            </w:r>
          </w:p>
        </w:tc>
        <w:tc>
          <w:tcPr>
            <w:tcW w:type="dxa" w:w="2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2</w:t>
            </w:r>
          </w:p>
        </w:tc>
        <w:tc>
          <w:tcPr>
            <w:tcW w:type="dxa" w:w="17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E</w:t>
            </w:r>
          </w:p>
        </w:tc>
        <w:tc>
          <w:tcPr>
            <w:tcW w:type="dxa" w:w="32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Modest moat (workflow integrations).</w:t>
            </w:r>
          </w:p>
        </w:tc>
      </w:tr>
      <w:tr>
        <w:tc>
          <w:tcPr>
            <w:tcW w:type="dxa" w:w="24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C1 Market timing</w:t>
            </w:r>
          </w:p>
        </w:tc>
        <w:tc>
          <w:tcPr>
            <w:tcW w:type="dxa" w:w="2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1</w:t>
            </w:r>
          </w:p>
        </w:tc>
        <w:tc>
          <w:tcPr>
            <w:tcW w:type="dxa" w:w="17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E</w:t>
            </w:r>
          </w:p>
        </w:tc>
        <w:tc>
          <w:tcPr>
            <w:tcW w:type="dxa" w:w="32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Patient niche market.</w:t>
            </w:r>
          </w:p>
        </w:tc>
      </w:tr>
      <w:tr>
        <w:tc>
          <w:tcPr>
            <w:tcW w:type="dxa" w:w="24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C2 Competitive density</w:t>
            </w:r>
          </w:p>
        </w:tc>
        <w:tc>
          <w:tcPr>
            <w:tcW w:type="dxa" w:w="2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2</w:t>
            </w:r>
          </w:p>
        </w:tc>
        <w:tc>
          <w:tcPr>
            <w:tcW w:type="dxa" w:w="17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E</w:t>
            </w:r>
          </w:p>
        </w:tc>
        <w:tc>
          <w:tcPr>
            <w:tcW w:type="dxa" w:w="32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Few direct competitors.</w:t>
            </w:r>
          </w:p>
        </w:tc>
      </w:tr>
      <w:tr>
        <w:tc>
          <w:tcPr>
            <w:tcW w:type="dxa" w:w="24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C3 CAC trajectory</w:t>
            </w:r>
          </w:p>
        </w:tc>
        <w:tc>
          <w:tcPr>
            <w:tcW w:type="dxa" w:w="2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2</w:t>
            </w:r>
          </w:p>
        </w:tc>
        <w:tc>
          <w:tcPr>
            <w:tcW w:type="dxa" w:w="17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E</w:t>
            </w:r>
          </w:p>
        </w:tc>
        <w:tc>
          <w:tcPr>
            <w:tcW w:type="dxa" w:w="32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Largely organic acquisition.</w:t>
            </w:r>
          </w:p>
        </w:tc>
      </w:tr>
      <w:tr>
        <w:tc>
          <w:tcPr>
            <w:tcW w:type="dxa" w:w="24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D1 Exit horizon</w:t>
            </w:r>
          </w:p>
        </w:tc>
        <w:tc>
          <w:tcPr>
            <w:tcW w:type="dxa" w:w="2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2</w:t>
            </w:r>
          </w:p>
        </w:tc>
        <w:tc>
          <w:tcPr>
            <w:tcW w:type="dxa" w:w="17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E</w:t>
            </w:r>
          </w:p>
        </w:tc>
        <w:tc>
          <w:tcPr>
            <w:tcW w:type="dxa" w:w="32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10+ year horizon.</w:t>
            </w:r>
          </w:p>
        </w:tc>
      </w:tr>
      <w:tr>
        <w:tc>
          <w:tcPr>
            <w:tcW w:type="dxa" w:w="24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D2 Growth ambition</w:t>
            </w:r>
          </w:p>
        </w:tc>
        <w:tc>
          <w:tcPr>
            <w:tcW w:type="dxa" w:w="2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3</w:t>
            </w:r>
          </w:p>
        </w:tc>
        <w:tc>
          <w:tcPr>
            <w:tcW w:type="dxa" w:w="17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E</w:t>
            </w:r>
          </w:p>
        </w:tc>
        <w:tc>
          <w:tcPr>
            <w:tcW w:type="dxa" w:w="32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Sustainable growth, not hypergrowth.</w:t>
            </w:r>
          </w:p>
        </w:tc>
      </w:tr>
      <w:tr>
        <w:tc>
          <w:tcPr>
            <w:tcW w:type="dxa" w:w="24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D3 VC value-add need</w:t>
            </w:r>
          </w:p>
        </w:tc>
        <w:tc>
          <w:tcPr>
            <w:tcW w:type="dxa" w:w="20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2</w:t>
            </w:r>
          </w:p>
        </w:tc>
        <w:tc>
          <w:tcPr>
            <w:tcW w:type="dxa" w:w="170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E</w:t>
            </w:r>
          </w:p>
        </w:tc>
        <w:tc>
          <w:tcPr>
            <w:tcW w:type="dxa" w:w="3260"/>
            <w:tcBorders>
              <w:top w:val="single" w:color="B0B0B0" w:sz="4"/>
              <w:left w:val="single" w:color="B0B0B0" w:sz="4"/>
              <w:bottom w:val="single" w:color="B0B0B0" w:sz="4"/>
              <w:right w:val="single" w:color="B0B0B0" w:sz="4"/>
            </w:tcBorders>
            <w:shd w:fill="F2F2F2" w:val="clear"/>
            <w:tcMar>
              <w:top w:type="dxa" w:w="90"/>
              <w:left w:type="dxa" w:w="130"/>
              <w:bottom w:type="dxa" w:w="90"/>
              <w:right w:type="dxa" w:w="130"/>
            </w:tcMar>
          </w:tcPr>
          <w:p>
            <w:pPr>
              <w:spacing w:after="0"/>
              <w:jc w:val="left"/>
            </w:pPr>
            <w:r>
              <w:rPr>
                <w:b w:val="false"/>
                <w:bCs w:val="false"/>
                <w:sz w:val="18"/>
                <w:szCs w:val="18"/>
              </w:rPr>
              <w:t xml:space="preserve">Cash not the constraint.</w:t>
            </w:r>
          </w:p>
        </w:tc>
      </w:tr>
      <w:tr>
        <w:tc>
          <w:tcPr>
            <w:tcW w:type="dxa" w:w="24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D4 Optionality preference</w:t>
            </w:r>
          </w:p>
        </w:tc>
        <w:tc>
          <w:tcPr>
            <w:tcW w:type="dxa" w:w="20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5</w:t>
            </w:r>
          </w:p>
        </w:tc>
        <w:tc>
          <w:tcPr>
            <w:tcW w:type="dxa" w:w="170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B</w:t>
            </w:r>
          </w:p>
        </w:tc>
        <w:tc>
          <w:tcPr>
            <w:tcW w:type="dxa" w:w="3260"/>
            <w:tcBorders>
              <w:top w:val="single" w:color="B0B0B0" w:sz="4"/>
              <w:left w:val="single" w:color="B0B0B0" w:sz="4"/>
              <w:bottom w:val="single" w:color="B0B0B0" w:sz="4"/>
              <w:right w:val="single" w:color="B0B0B0" w:sz="4"/>
            </w:tcBorders>
            <w:tcMar>
              <w:top w:type="dxa" w:w="90"/>
              <w:left w:type="dxa" w:w="130"/>
              <w:bottom w:type="dxa" w:w="90"/>
              <w:right w:type="dxa" w:w="130"/>
            </w:tcMar>
          </w:tcPr>
          <w:p>
            <w:pPr>
              <w:spacing w:after="0"/>
              <w:jc w:val="left"/>
            </w:pPr>
            <w:r>
              <w:rPr>
                <w:b w:val="false"/>
                <w:bCs w:val="false"/>
                <w:sz w:val="18"/>
                <w:szCs w:val="18"/>
              </w:rPr>
              <w:t xml:space="preserve">Wants to keep options open.</w:t>
            </w:r>
          </w:p>
        </w:tc>
      </w:tr>
    </w:tbl>
    <w:p>
      <w:pPr>
        <w:spacing w:after="120" w:line="300"/>
      </w:pPr>
      <w:r>
        <w:rPr>
          <w:b/>
          <w:bCs/>
        </w:rPr>
        <w:t xml:space="preserve">Result: Net Score ≈ −1.22 → Strong Bootstrap. </w:t>
      </w:r>
      <w:r>
        <w:t xml:space="preserve">Top drivers: Control preference (A2), Optionality (D4), Time-to-revenue (B2). Top watch-outs: Risk tolerance (A1) and Existing traction (B3) are mildly opposing — a market timing shift could change the picture.</w:t>
      </w:r>
    </w:p>
    <w:p>
      <w:pPr>
        <w:pStyle w:val="Heading2"/>
        <w:spacing w:after="160" w:before="280"/>
      </w:pPr>
      <w:r>
        <w:t xml:space="preserve">8.2 Case 2 — Capital-intensive deep-tech</w:t>
      </w:r>
    </w:p>
    <w:p>
      <w:pPr>
        <w:spacing w:after="120" w:line="300"/>
      </w:pPr>
      <w:r>
        <w:rPr>
          <w:i/>
          <w:iCs/>
        </w:rPr>
        <w:t xml:space="preserve">Profile: </w:t>
      </w:r>
      <w:r>
        <w:t xml:space="preserve">Two co-founders building a hardware/AI defense product. 18 months to first revenue. Heavy R&amp;D, regulatory pathway, IP-defensible. Limited personal capital, several VC-backed competitors emerging.</w:t>
      </w:r>
    </w:p>
    <w:p>
      <w:pPr>
        <w:spacing w:after="120" w:line="300"/>
      </w:pPr>
      <w:r>
        <w:rPr>
          <w:b/>
          <w:bCs/>
        </w:rPr>
        <w:t xml:space="preserve">Result: Net Score ≈ +1.43 → Strong Equity. </w:t>
      </w:r>
      <w:r>
        <w:t xml:space="preserve">Top drivers: Capital intensity (B1), Time-to-revenue (B2), Defensibility (B4). Top watch-outs: Optionality (D4) and Personal runway (A4) favour bootstrap but cannot override the venture economics.</w:t>
      </w:r>
    </w:p>
    <w:p>
      <w:pPr>
        <w:pStyle w:val="Heading2"/>
        <w:spacing w:after="160" w:before="280"/>
      </w:pPr>
      <w:r>
        <w:t xml:space="preserve">8.3 Case 3 — Ambiguous early-stage marketplace</w:t>
      </w:r>
    </w:p>
    <w:p>
      <w:pPr>
        <w:spacing w:after="120" w:line="300"/>
      </w:pPr>
      <w:r>
        <w:rPr>
          <w:i/>
          <w:iCs/>
        </w:rPr>
        <w:t xml:space="preserve">Profile: </w:t>
      </w:r>
      <w:r>
        <w:t xml:space="preserve">First-time founder building a two-sided marketplace. Some early traction but unproven retention, modest capital intensity, contested market. Personal runway adequate. Strategic ambition: hypergrowth.</w:t>
      </w:r>
    </w:p>
    <w:p>
      <w:pPr>
        <w:spacing w:after="120" w:line="300"/>
      </w:pPr>
      <w:r>
        <w:rPr>
          <w:b/>
          <w:bCs/>
        </w:rPr>
        <w:t xml:space="preserve">Result: Net Score ≈ +0.70 → Equity-leaning. </w:t>
      </w:r>
      <w:r>
        <w:t xml:space="preserve">Top drivers: Market timing (C1), Growth ambition (D2), Customer acquisition cost (C3). Top watch-outs: Limited domain experience (A3) and modest existing traction (B3) suggest staging the raise (pre-seed first, seed after milestone).</w:t>
      </w:r>
    </w:p>
    <w:p>
      <w:pPr>
        <w:pStyle w:val="Heading1"/>
        <w:spacing w:after="200" w:before="360"/>
      </w:pPr>
      <w:r>
        <w:t xml:space="preserve">9. Theoretical References</w:t>
      </w:r>
    </w:p>
    <w:p>
      <w:pPr>
        <w:spacing w:after="120" w:line="300"/>
      </w:pPr>
      <w:r>
        <w:t xml:space="preserve">Full bibliography is in the dissertation main text. Key anchors for the SFDF:</w:t>
      </w:r>
    </w:p>
    <w:p>
      <w:pPr>
        <w:pStyle w:val="ListParagraph"/>
        <w:numPr>
          <w:ilvl w:val="0"/>
          <w:numId w:val="2"/>
        </w:numPr>
        <w:spacing w:after="80" w:line="280"/>
      </w:pPr>
      <w:r>
        <w:t xml:space="preserve">Bhidé, A. (2000). The Origin and Evolution of New Businesses. Oxford University Press.</w:t>
      </w:r>
    </w:p>
    <w:p>
      <w:pPr>
        <w:pStyle w:val="ListParagraph"/>
        <w:numPr>
          <w:ilvl w:val="0"/>
          <w:numId w:val="2"/>
        </w:numPr>
        <w:spacing w:after="80" w:line="280"/>
      </w:pPr>
      <w:r>
        <w:t xml:space="preserve">Hellmann, T., &amp; Puri, M. (2002). Venture capital and the professionalization of start-up firms. Journal of Finance, 57(1), 169–197.</w:t>
      </w:r>
    </w:p>
    <w:p>
      <w:pPr>
        <w:pStyle w:val="ListParagraph"/>
        <w:numPr>
          <w:ilvl w:val="0"/>
          <w:numId w:val="2"/>
        </w:numPr>
        <w:spacing w:after="80" w:line="280"/>
      </w:pPr>
      <w:r>
        <w:t xml:space="preserve">Hevner, A. R., March, S. T., Park, J., &amp; Ram, S. (2004). Design science in information systems research. MIS Quarterly, 28(1), 75–105.</w:t>
      </w:r>
    </w:p>
    <w:p>
      <w:pPr>
        <w:pStyle w:val="ListParagraph"/>
        <w:numPr>
          <w:ilvl w:val="0"/>
          <w:numId w:val="2"/>
        </w:numPr>
        <w:spacing w:after="80" w:line="280"/>
      </w:pPr>
      <w:r>
        <w:t xml:space="preserve">Jensen, M., &amp; Meckling, W. (1976). Theory of the firm: managerial behavior, agency costs and ownership structure. Journal of Financial Economics, 3(4), 305–360.</w:t>
      </w:r>
    </w:p>
    <w:p>
      <w:pPr>
        <w:pStyle w:val="ListParagraph"/>
        <w:numPr>
          <w:ilvl w:val="0"/>
          <w:numId w:val="2"/>
        </w:numPr>
        <w:spacing w:after="80" w:line="280"/>
      </w:pPr>
      <w:r>
        <w:t xml:space="preserve">Kaplan, S., &amp; Strömberg, P. (2003). Financial contracting theory meets the real world: an empirical analysis of venture capital contracts. Review of Economic Studies, 70(2), 281–315.</w:t>
      </w:r>
    </w:p>
    <w:p>
      <w:pPr>
        <w:pStyle w:val="ListParagraph"/>
        <w:numPr>
          <w:ilvl w:val="0"/>
          <w:numId w:val="2"/>
        </w:numPr>
        <w:spacing w:after="80" w:line="280"/>
      </w:pPr>
      <w:r>
        <w:t xml:space="preserve">Peffers, K., Tuunanen, T., Rothenberger, M. A., &amp; Chatterjee, S. (2007). A design science research methodology for information systems research. Journal of MIS, 24(3), 45–77.</w:t>
      </w:r>
    </w:p>
    <w:p>
      <w:pPr>
        <w:pStyle w:val="ListParagraph"/>
        <w:numPr>
          <w:ilvl w:val="0"/>
          <w:numId w:val="2"/>
        </w:numPr>
        <w:spacing w:after="80" w:line="280"/>
      </w:pPr>
      <w:r>
        <w:t xml:space="preserve">Pfeffer, J., &amp; Salancik, G. (1978). The External Control of Organizations. Harper &amp; Row.</w:t>
      </w:r>
    </w:p>
    <w:p>
      <w:pPr>
        <w:pStyle w:val="ListParagraph"/>
        <w:numPr>
          <w:ilvl w:val="0"/>
          <w:numId w:val="2"/>
        </w:numPr>
        <w:spacing w:after="80" w:line="280"/>
      </w:pPr>
      <w:r>
        <w:t xml:space="preserve">Venable, J., Pries-Heje, J., &amp; Baskerville, R. (2016). FEDS: a framework for evaluation in design science research. European Journal of Information Systems, 25(1), 77–89.</w:t>
      </w:r>
    </w:p>
    <w:p>
      <w:pPr>
        <w:pStyle w:val="ListParagraph"/>
        <w:numPr>
          <w:ilvl w:val="0"/>
          <w:numId w:val="2"/>
        </w:numPr>
        <w:spacing w:after="80" w:line="280"/>
      </w:pPr>
      <w:r>
        <w:t xml:space="preserve">Wasserman, N. (2017). The throne vs. the kingdom: founder control and value creation in startups. Strategic Management Journal, 38(2), 255–277.</w:t>
      </w:r>
    </w:p>
    <w:p>
      <w:pPr>
        <w:pStyle w:val="ListParagraph"/>
        <w:numPr>
          <w:ilvl w:val="0"/>
          <w:numId w:val="2"/>
        </w:numPr>
        <w:spacing w:after="80" w:line="280"/>
      </w:pPr>
      <w:r>
        <w:t xml:space="preserve">Winborg, J., &amp; Landström, H. (2001). Financial bootstrapping in small businesses. Journal of Business Venturing, 16(3), 235–254.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2026-04-28T23:52:45.234Z</dcterms:created>
  <dcterms:modified xsi:type="dcterms:W3CDTF">2026-04-28T23:52:45.235Z</dcterms:modified>
</cp:coreProperties>
</file>

<file path=docProps/custom.xml><?xml version="1.0" encoding="utf-8"?>
<Properties xmlns="http://schemas.openxmlformats.org/officeDocument/2006/custom-properties" xmlns:vt="http://schemas.openxmlformats.org/officeDocument/2006/docPropsVTypes"/>
</file>