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b/>
          <w:bCs/>
          <w:sz w:val="36"/>
          <w:szCs w:val="36"/>
        </w:rPr>
        <w:t xml:space="preserve">SFDF Artifact: Build &amp; Validation Plan</w:t>
      </w:r>
    </w:p>
    <w:p>
      <w:pPr>
        <w:spacing w:after="80"/>
        <w:jc w:val="center"/>
      </w:pPr>
      <w:r>
        <w:rPr>
          <w:i/>
          <w:iCs/>
          <w:color w:val="555555"/>
          <w:sz w:val="24"/>
          <w:szCs w:val="24"/>
        </w:rPr>
        <w:t xml:space="preserve">Strategic Financing Decision Framework</w:t>
      </w:r>
    </w:p>
    <w:p>
      <w:pPr>
        <w:spacing w:after="360"/>
        <w:jc w:val="center"/>
      </w:pPr>
      <w:r>
        <w:rPr>
          <w:color w:val="777777"/>
          <w:sz w:val="20"/>
          <w:szCs w:val="20"/>
        </w:rPr>
        <w:t xml:space="preserve">MIETE Dissertation — Sifat | Supervisor: Prof. José Miguel Oliveira</w:t>
      </w:r>
    </w:p>
    <w:p>
      <w:pPr>
        <w:pStyle w:val="Heading1"/>
        <w:spacing w:after="200" w:before="360"/>
      </w:pPr>
      <w:r>
        <w:t xml:space="preserve">Executive Summary</w:t>
      </w:r>
    </w:p>
    <w:p>
      <w:pPr>
        <w:spacing w:after="120" w:line="300"/>
      </w:pPr>
      <w:r>
        <w:t xml:space="preserve">This document is your end-to-end plan for two things: (1) building the Strategic Financing Decision Framework (SFDF) artifact in time for the SIM Conference in Porto, and (2) validating it across the two conference days using a Day-1 / Day-2 iterate-and-confirm structure.</w:t>
      </w:r>
    </w:p>
    <w:p>
      <w:pPr>
        <w:spacing w:after="120" w:line="300"/>
      </w:pPr>
      <w:r>
        <w:t xml:space="preserve">The plan is organised in five phases:</w:t>
      </w:r>
    </w:p>
    <w:p>
      <w:pPr>
        <w:pStyle w:val="ListParagraph"/>
        <w:numPr>
          <w:ilvl w:val="0"/>
          <w:numId w:val="2"/>
        </w:numPr>
        <w:spacing w:after="80" w:line="280"/>
      </w:pPr>
      <w:r>
        <w:rPr>
          <w:b/>
          <w:bCs/>
        </w:rPr>
        <w:t xml:space="preserve">Phase 1 — Pre-conference build </w:t>
      </w:r>
      <w:r>
        <w:t xml:space="preserve">(approx. 7–10 working days before SIM): produce the complete artifact draft, validation instruments, and recruitment list.</w:t>
      </w:r>
    </w:p>
    <w:p>
      <w:pPr>
        <w:pStyle w:val="ListParagraph"/>
        <w:numPr>
          <w:ilvl w:val="0"/>
          <w:numId w:val="2"/>
        </w:numPr>
        <w:spacing w:after="80" w:line="280"/>
      </w:pPr>
      <w:r>
        <w:rPr>
          <w:b/>
          <w:bCs/>
        </w:rPr>
        <w:t xml:space="preserve">Phase 2 — SIM Day 1 </w:t>
      </w:r>
      <w:r>
        <w:t xml:space="preserve">(field validation): collect structured feedback from 4–6 founders/investors using a one-page artifact and a short feedback protocol.</w:t>
      </w:r>
    </w:p>
    <w:p>
      <w:pPr>
        <w:pStyle w:val="ListParagraph"/>
        <w:numPr>
          <w:ilvl w:val="0"/>
          <w:numId w:val="2"/>
        </w:numPr>
        <w:spacing w:after="80" w:line="280"/>
      </w:pPr>
      <w:r>
        <w:rPr>
          <w:b/>
          <w:bCs/>
        </w:rPr>
        <w:t xml:space="preserve">Phase 3 — Overnight iteration </w:t>
      </w:r>
      <w:r>
        <w:t xml:space="preserve">(evening of Day 1): synthesize feedback and produce SFDF v2.</w:t>
      </w:r>
    </w:p>
    <w:p>
      <w:pPr>
        <w:pStyle w:val="ListParagraph"/>
        <w:numPr>
          <w:ilvl w:val="0"/>
          <w:numId w:val="2"/>
        </w:numPr>
        <w:spacing w:after="80" w:line="280"/>
      </w:pPr>
      <w:r>
        <w:rPr>
          <w:b/>
          <w:bCs/>
        </w:rPr>
        <w:t xml:space="preserve">Phase 4 — SIM Day 2 </w:t>
      </w:r>
      <w:r>
        <w:t xml:space="preserve">(confirmation pass): re-validate the revised artifact with 3–4 fresh respondents and, where possible, return to Day-1 contacts to confirm changes.</w:t>
      </w:r>
    </w:p>
    <w:p>
      <w:pPr>
        <w:pStyle w:val="ListParagraph"/>
        <w:numPr>
          <w:ilvl w:val="0"/>
          <w:numId w:val="2"/>
        </w:numPr>
        <w:spacing w:after="80" w:line="280"/>
      </w:pPr>
      <w:r>
        <w:rPr>
          <w:b/>
          <w:bCs/>
        </w:rPr>
        <w:t xml:space="preserve">Phase 5 — Post-conference write-up </w:t>
      </w:r>
      <w:r>
        <w:t xml:space="preserve">(week after SIM): synthesize results into Methodology and Assessment &amp; Discussion chapters.</w:t>
      </w:r>
    </w:p>
    <w:p>
      <w:pPr>
        <w:spacing w:after="120" w:line="300"/>
      </w:pPr>
      <w:r>
        <w:t xml:space="preserve">This approach grounds the SFDF in real practitioner evidence while fitting cleanly inside a Design Science Research (DSR) methodology and the Venable et al. (2016) FEDS framework — specifically a Human Risk &amp; Effectiveness strategy with Naturalistic, Formative evaluation early, moving toward Naturalistic, Summative evaluation in the second pass.</w:t>
      </w:r>
    </w:p>
    <w:p>
      <w:pPr>
        <w:pStyle w:val="Heading1"/>
        <w:spacing w:after="200" w:before="360"/>
      </w:pPr>
      <w:r>
        <w:t xml:space="preserve">1. Methodological Framing</w:t>
      </w:r>
    </w:p>
    <w:p>
      <w:pPr>
        <w:spacing w:after="120" w:line="300"/>
      </w:pPr>
      <w:r>
        <w:t xml:space="preserve">Two things need to be airtight before you walk into SIM: how the validation maps onto your DSRM steps, and how it maps onto FEDS. Your supervisor will look for both.</w:t>
      </w:r>
    </w:p>
    <w:p>
      <w:pPr>
        <w:pStyle w:val="Heading2"/>
        <w:spacing w:after="160" w:before="280"/>
      </w:pPr>
      <w:r>
        <w:t xml:space="preserve">1.1 Mapping to DSRM (Peffers et al., 2007)</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B0B0B0" w:sz="4"/>
              <w:left w:val="single" w:color="B0B0B0" w:sz="4"/>
              <w:bottom w:val="single" w:color="B0B0B0" w:sz="4"/>
              <w:right w:val="single" w:color="B0B0B0" w:sz="4"/>
            </w:tcBorders>
            <w:shd w:fill="1F4E79" w:val="clear"/>
            <w:tcMar>
              <w:top w:type="dxa" w:w="100"/>
              <w:left w:type="dxa" w:w="140"/>
              <w:bottom w:type="dxa" w:w="100"/>
              <w:right w:type="dxa" w:w="140"/>
            </w:tcMar>
          </w:tcPr>
          <w:p>
            <w:pPr>
              <w:spacing w:after="0"/>
            </w:pPr>
            <w:r>
              <w:rPr>
                <w:b/>
                <w:bCs/>
                <w:color w:val="FFFFFF"/>
                <w:sz w:val="20"/>
                <w:szCs w:val="20"/>
              </w:rPr>
              <w:t xml:space="preserve">DSRM Step</w:t>
            </w:r>
          </w:p>
        </w:tc>
        <w:tc>
          <w:tcPr>
            <w:tcW w:type="dxa" w:w="6560"/>
            <w:tcBorders>
              <w:top w:val="single" w:color="B0B0B0" w:sz="4"/>
              <w:left w:val="single" w:color="B0B0B0" w:sz="4"/>
              <w:bottom w:val="single" w:color="B0B0B0" w:sz="4"/>
              <w:right w:val="single" w:color="B0B0B0" w:sz="4"/>
            </w:tcBorders>
            <w:shd w:fill="1F4E79" w:val="clear"/>
            <w:tcMar>
              <w:top w:type="dxa" w:w="100"/>
              <w:left w:type="dxa" w:w="140"/>
              <w:bottom w:type="dxa" w:w="100"/>
              <w:right w:type="dxa" w:w="140"/>
            </w:tcMar>
          </w:tcPr>
          <w:p>
            <w:pPr>
              <w:spacing w:after="0"/>
            </w:pPr>
            <w:r>
              <w:rPr>
                <w:b/>
                <w:bCs/>
                <w:color w:val="FFFFFF"/>
                <w:sz w:val="20"/>
                <w:szCs w:val="20"/>
              </w:rPr>
              <w:t xml:space="preserve">What you do for the SFDF</w:t>
            </w:r>
          </w:p>
        </w:tc>
      </w:tr>
      <w:tr>
        <w:tc>
          <w:tcPr>
            <w:tcW w:type="dxa" w:w="280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spacing w:after="0"/>
            </w:pPr>
            <w:r>
              <w:rPr>
                <w:b w:val="false"/>
                <w:bCs w:val="false"/>
                <w:sz w:val="20"/>
                <w:szCs w:val="20"/>
              </w:rPr>
              <w:t xml:space="preserve">1. Problem identification &amp; motivation</w:t>
            </w:r>
          </w:p>
        </w:tc>
        <w:tc>
          <w:tcPr>
            <w:tcW w:type="dxa" w:w="656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spacing w:after="0"/>
            </w:pPr>
            <w:r>
              <w:rPr>
                <w:b w:val="false"/>
                <w:bCs w:val="false"/>
                <w:sz w:val="20"/>
                <w:szCs w:val="20"/>
              </w:rPr>
              <w:t xml:space="preserve">Already covered in Chapter 1 (Introduction) — founders lack a structured way to choose between bootstrapping and equity financing.</w:t>
            </w:r>
          </w:p>
        </w:tc>
      </w:tr>
      <w:tr>
        <w:tc>
          <w:tcPr>
            <w:tcW w:type="dxa" w:w="2800"/>
            <w:tcBorders>
              <w:top w:val="single" w:color="B0B0B0" w:sz="4"/>
              <w:left w:val="single" w:color="B0B0B0" w:sz="4"/>
              <w:bottom w:val="single" w:color="B0B0B0" w:sz="4"/>
              <w:right w:val="single" w:color="B0B0B0" w:sz="4"/>
            </w:tcBorders>
            <w:shd w:fill="F2F2F2" w:val="clear"/>
            <w:tcMar>
              <w:top w:type="dxa" w:w="100"/>
              <w:left w:type="dxa" w:w="140"/>
              <w:bottom w:type="dxa" w:w="100"/>
              <w:right w:type="dxa" w:w="140"/>
            </w:tcMar>
          </w:tcPr>
          <w:p>
            <w:pPr>
              <w:spacing w:after="0"/>
            </w:pPr>
            <w:r>
              <w:rPr>
                <w:b w:val="false"/>
                <w:bCs w:val="false"/>
                <w:sz w:val="20"/>
                <w:szCs w:val="20"/>
              </w:rPr>
              <w:t xml:space="preserve">2. Define objectives of a solution</w:t>
            </w:r>
          </w:p>
        </w:tc>
        <w:tc>
          <w:tcPr>
            <w:tcW w:type="dxa" w:w="6560"/>
            <w:tcBorders>
              <w:top w:val="single" w:color="B0B0B0" w:sz="4"/>
              <w:left w:val="single" w:color="B0B0B0" w:sz="4"/>
              <w:bottom w:val="single" w:color="B0B0B0" w:sz="4"/>
              <w:right w:val="single" w:color="B0B0B0" w:sz="4"/>
            </w:tcBorders>
            <w:shd w:fill="F2F2F2" w:val="clear"/>
            <w:tcMar>
              <w:top w:type="dxa" w:w="100"/>
              <w:left w:type="dxa" w:w="140"/>
              <w:bottom w:type="dxa" w:w="100"/>
              <w:right w:type="dxa" w:w="140"/>
            </w:tcMar>
          </w:tcPr>
          <w:p>
            <w:pPr>
              <w:spacing w:after="0"/>
            </w:pPr>
            <w:r>
              <w:rPr>
                <w:b w:val="false"/>
                <w:bCs w:val="false"/>
                <w:sz w:val="20"/>
                <w:szCs w:val="20"/>
              </w:rPr>
              <w:t xml:space="preserve">Done in Chapter 2 (SLR) — derived from Wasserman, Winborg &amp; Landström, Kaplan &amp; Strömberg, Hellmann &amp; Puri.</w:t>
            </w:r>
          </w:p>
        </w:tc>
      </w:tr>
      <w:tr>
        <w:tc>
          <w:tcPr>
            <w:tcW w:type="dxa" w:w="280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spacing w:after="0"/>
            </w:pPr>
            <w:r>
              <w:rPr>
                <w:b w:val="false"/>
                <w:bCs w:val="false"/>
                <w:sz w:val="20"/>
                <w:szCs w:val="20"/>
              </w:rPr>
              <w:t xml:space="preserve">3. Design and development</w:t>
            </w:r>
          </w:p>
        </w:tc>
        <w:tc>
          <w:tcPr>
            <w:tcW w:type="dxa" w:w="656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spacing w:after="0"/>
            </w:pPr>
            <w:r>
              <w:rPr>
                <w:b w:val="false"/>
                <w:bCs w:val="false"/>
                <w:sz w:val="20"/>
                <w:szCs w:val="20"/>
              </w:rPr>
              <w:t xml:space="preserve">Phase 1 of this plan — build SFDF v1 (factors, scoring, decision logic, output).</w:t>
            </w:r>
          </w:p>
        </w:tc>
      </w:tr>
      <w:tr>
        <w:tc>
          <w:tcPr>
            <w:tcW w:type="dxa" w:w="2800"/>
            <w:tcBorders>
              <w:top w:val="single" w:color="B0B0B0" w:sz="4"/>
              <w:left w:val="single" w:color="B0B0B0" w:sz="4"/>
              <w:bottom w:val="single" w:color="B0B0B0" w:sz="4"/>
              <w:right w:val="single" w:color="B0B0B0" w:sz="4"/>
            </w:tcBorders>
            <w:shd w:fill="F2F2F2" w:val="clear"/>
            <w:tcMar>
              <w:top w:type="dxa" w:w="100"/>
              <w:left w:type="dxa" w:w="140"/>
              <w:bottom w:type="dxa" w:w="100"/>
              <w:right w:type="dxa" w:w="140"/>
            </w:tcMar>
          </w:tcPr>
          <w:p>
            <w:pPr>
              <w:spacing w:after="0"/>
            </w:pPr>
            <w:r>
              <w:rPr>
                <w:b w:val="false"/>
                <w:bCs w:val="false"/>
                <w:sz w:val="20"/>
                <w:szCs w:val="20"/>
              </w:rPr>
              <w:t xml:space="preserve">4. Demonstration</w:t>
            </w:r>
          </w:p>
        </w:tc>
        <w:tc>
          <w:tcPr>
            <w:tcW w:type="dxa" w:w="6560"/>
            <w:tcBorders>
              <w:top w:val="single" w:color="B0B0B0" w:sz="4"/>
              <w:left w:val="single" w:color="B0B0B0" w:sz="4"/>
              <w:bottom w:val="single" w:color="B0B0B0" w:sz="4"/>
              <w:right w:val="single" w:color="B0B0B0" w:sz="4"/>
            </w:tcBorders>
            <w:shd w:fill="F2F2F2" w:val="clear"/>
            <w:tcMar>
              <w:top w:type="dxa" w:w="100"/>
              <w:left w:type="dxa" w:w="140"/>
              <w:bottom w:type="dxa" w:w="100"/>
              <w:right w:type="dxa" w:w="140"/>
            </w:tcMar>
          </w:tcPr>
          <w:p>
            <w:pPr>
              <w:spacing w:after="0"/>
            </w:pPr>
            <w:r>
              <w:rPr>
                <w:b w:val="false"/>
                <w:bCs w:val="false"/>
                <w:sz w:val="20"/>
                <w:szCs w:val="20"/>
              </w:rPr>
              <w:t xml:space="preserve">SIM Day 1 — present SFDF v1 to founders/investors; walk them through a real-or-hypothetical case.</w:t>
            </w:r>
          </w:p>
        </w:tc>
      </w:tr>
      <w:tr>
        <w:tc>
          <w:tcPr>
            <w:tcW w:type="dxa" w:w="280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spacing w:after="0"/>
            </w:pPr>
            <w:r>
              <w:rPr>
                <w:b w:val="false"/>
                <w:bCs w:val="false"/>
                <w:sz w:val="20"/>
                <w:szCs w:val="20"/>
              </w:rPr>
              <w:t xml:space="preserve">5. Evaluation</w:t>
            </w:r>
          </w:p>
        </w:tc>
        <w:tc>
          <w:tcPr>
            <w:tcW w:type="dxa" w:w="656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spacing w:after="0"/>
            </w:pPr>
            <w:r>
              <w:rPr>
                <w:b w:val="false"/>
                <w:bCs w:val="false"/>
                <w:sz w:val="20"/>
                <w:szCs w:val="20"/>
              </w:rPr>
              <w:t xml:space="preserve">SIM Day 1 (formative) + Day 2 (summative). Iterate to v2 between days.</w:t>
            </w:r>
          </w:p>
        </w:tc>
      </w:tr>
      <w:tr>
        <w:tc>
          <w:tcPr>
            <w:tcW w:type="dxa" w:w="2800"/>
            <w:tcBorders>
              <w:top w:val="single" w:color="B0B0B0" w:sz="4"/>
              <w:left w:val="single" w:color="B0B0B0" w:sz="4"/>
              <w:bottom w:val="single" w:color="B0B0B0" w:sz="4"/>
              <w:right w:val="single" w:color="B0B0B0" w:sz="4"/>
            </w:tcBorders>
            <w:shd w:fill="F2F2F2" w:val="clear"/>
            <w:tcMar>
              <w:top w:type="dxa" w:w="100"/>
              <w:left w:type="dxa" w:w="140"/>
              <w:bottom w:type="dxa" w:w="100"/>
              <w:right w:type="dxa" w:w="140"/>
            </w:tcMar>
          </w:tcPr>
          <w:p>
            <w:pPr>
              <w:spacing w:after="0"/>
            </w:pPr>
            <w:r>
              <w:rPr>
                <w:b w:val="false"/>
                <w:bCs w:val="false"/>
                <w:sz w:val="20"/>
                <w:szCs w:val="20"/>
              </w:rPr>
              <w:t xml:space="preserve">6. Communication</w:t>
            </w:r>
          </w:p>
        </w:tc>
        <w:tc>
          <w:tcPr>
            <w:tcW w:type="dxa" w:w="6560"/>
            <w:tcBorders>
              <w:top w:val="single" w:color="B0B0B0" w:sz="4"/>
              <w:left w:val="single" w:color="B0B0B0" w:sz="4"/>
              <w:bottom w:val="single" w:color="B0B0B0" w:sz="4"/>
              <w:right w:val="single" w:color="B0B0B0" w:sz="4"/>
            </w:tcBorders>
            <w:shd w:fill="F2F2F2" w:val="clear"/>
            <w:tcMar>
              <w:top w:type="dxa" w:w="100"/>
              <w:left w:type="dxa" w:w="140"/>
              <w:bottom w:type="dxa" w:w="100"/>
              <w:right w:type="dxa" w:w="140"/>
            </w:tcMar>
          </w:tcPr>
          <w:p>
            <w:pPr>
              <w:spacing w:after="0"/>
            </w:pPr>
            <w:r>
              <w:rPr>
                <w:b w:val="false"/>
                <w:bCs w:val="false"/>
                <w:sz w:val="20"/>
                <w:szCs w:val="20"/>
              </w:rPr>
              <w:t xml:space="preserve">Methodology chapter (artifact) + Assessment &amp; Discussion chapter (validation findings).</w:t>
            </w:r>
          </w:p>
        </w:tc>
      </w:tr>
    </w:tbl>
    <w:p>
      <w:pPr>
        <w:pStyle w:val="Heading2"/>
        <w:spacing w:after="160" w:before="280"/>
      </w:pPr>
      <w:r>
        <w:t xml:space="preserve">1.2 Mapping to FEDS (Venable, Pries-Heje &amp; Baskerville, 2016)</w:t>
      </w:r>
    </w:p>
    <w:p>
      <w:pPr>
        <w:spacing w:after="120" w:line="300"/>
      </w:pPr>
      <w:r>
        <w:t xml:space="preserve">FEDS frames your evaluation along two axes: paradigm (Artificial ↔ Naturalistic) and functional purpose (Formative ↔ Summative). Your two-day plan deliberately moves through the matrix:</w:t>
      </w:r>
    </w:p>
    <w:p>
      <w:pPr>
        <w:pStyle w:val="ListParagraph"/>
        <w:numPr>
          <w:ilvl w:val="0"/>
          <w:numId w:val="2"/>
        </w:numPr>
        <w:spacing w:after="80" w:line="280"/>
      </w:pPr>
      <w:r>
        <w:rPr>
          <w:b/>
          <w:bCs/>
        </w:rPr>
        <w:t xml:space="preserve">Day 1 — Naturalistic, Formative. </w:t>
      </w:r>
      <w:r>
        <w:t xml:space="preserve">Real practitioners (naturalistic), feedback aimed at improving the artifact (formative). This is your Human Risk &amp; Effectiveness strategy: prioritise practitioner judgement early because the SFDF will be used by real founders.</w:t>
      </w:r>
    </w:p>
    <w:p>
      <w:pPr>
        <w:pStyle w:val="ListParagraph"/>
        <w:numPr>
          <w:ilvl w:val="0"/>
          <w:numId w:val="2"/>
        </w:numPr>
        <w:spacing w:after="80" w:line="280"/>
      </w:pPr>
      <w:r>
        <w:rPr>
          <w:b/>
          <w:bCs/>
        </w:rPr>
        <w:t xml:space="preserve">Day 2 — Naturalistic, Summative. </w:t>
      </w:r>
      <w:r>
        <w:t xml:space="preserve">Real practitioners again, but the questions shift to whether the revised SFDF actually works for them (summative). This gives you evidence of efficacy, not just feedback.</w:t>
      </w:r>
    </w:p>
    <w:p>
      <w:pPr>
        <w:spacing w:after="120" w:line="300"/>
      </w:pPr>
      <w:r>
        <w:t xml:space="preserve">In your Methodology chapter, present this with the FEDS 2x2 matrix and place your two evaluation episodes inside it. Cite Venable et al. (2016) directly.</w:t>
      </w:r>
    </w:p>
    <w:p>
      <w:pPr>
        <w:pStyle w:val="Heading2"/>
        <w:spacing w:after="160" w:before="280"/>
      </w:pPr>
      <w:r>
        <w:t xml:space="preserve">1.3 Why not full Delphi</w:t>
      </w:r>
    </w:p>
    <w:p>
      <w:pPr>
        <w:spacing w:after="120" w:line="300"/>
      </w:pPr>
      <w:r>
        <w:t xml:space="preserve">A classical Delphi requires 2–3 rounds of anonymous questionnaires with 12+ panelists, and recruitment alone typically eats 2–3 weeks. With your 7 June submission deadline, that is not feasible. The SIM-based two-pass evaluation gives you naturalistic, summative evidence within a defensible DSR framing — and it is, in fact, more aligned with the Venable et al. tradition than a Delphi would be for a designed artifact. Note this trade-off explicitly in your Methodology chapter under a sub-section titled “Evaluation strategy and trade-offs.”</w:t>
      </w:r>
    </w:p>
    <w:p>
      <w:pPr>
        <w:pStyle w:val="Heading1"/>
        <w:spacing w:after="200" w:before="360"/>
      </w:pPr>
      <w:r>
        <w:t xml:space="preserve">2. SFDF Artifact — What to Build</w:t>
      </w:r>
    </w:p>
    <w:p>
      <w:pPr>
        <w:spacing w:after="120" w:line="300"/>
      </w:pPr>
      <w:r>
        <w:t xml:space="preserve">The SFDF is a structured decision-support artifact, not a prescriptive algorithm. Its purpose is to help an early-stage tech founder reason through whether bootstrapping or equity financing better fits their situation, given the trade-offs in control, dilution, growth speed, and resource access. Build it in four layers.</w:t>
      </w:r>
    </w:p>
    <w:p>
      <w:pPr>
        <w:pStyle w:val="Heading2"/>
        <w:spacing w:after="160" w:before="280"/>
      </w:pPr>
      <w:r>
        <w:t xml:space="preserve">2.1 Layer 1 — Contextual Factors (the inputs)</w:t>
      </w:r>
    </w:p>
    <w:p>
      <w:pPr>
        <w:spacing w:after="120" w:line="300"/>
      </w:pPr>
      <w:r>
        <w:t xml:space="preserve">Group your factors into four dimensions, each grounded in the literature you have already reviewed:</w:t>
      </w:r>
    </w:p>
    <w:p>
      <w:pPr>
        <w:pStyle w:val="Heading3"/>
        <w:spacing w:after="120" w:before="220"/>
      </w:pPr>
      <w:r>
        <w:t xml:space="preserve">A. Founder &amp; Team factors</w:t>
      </w:r>
    </w:p>
    <w:p>
      <w:pPr>
        <w:pStyle w:val="ListParagraph"/>
        <w:numPr>
          <w:ilvl w:val="0"/>
          <w:numId w:val="2"/>
        </w:numPr>
        <w:spacing w:after="80" w:line="280"/>
      </w:pPr>
      <w:r>
        <w:t xml:space="preserve">Risk tolerance (high / medium / low) — Wasserman (2017)</w:t>
      </w:r>
    </w:p>
    <w:p>
      <w:pPr>
        <w:pStyle w:val="ListParagraph"/>
        <w:numPr>
          <w:ilvl w:val="0"/>
          <w:numId w:val="2"/>
        </w:numPr>
        <w:spacing w:after="80" w:line="280"/>
      </w:pPr>
      <w:r>
        <w:t xml:space="preserve">Control preference (autonomy vs. velocity) — Wasserman (2017); Hellmann &amp; Puri (2002)</w:t>
      </w:r>
    </w:p>
    <w:p>
      <w:pPr>
        <w:pStyle w:val="ListParagraph"/>
        <w:numPr>
          <w:ilvl w:val="0"/>
          <w:numId w:val="2"/>
        </w:numPr>
        <w:spacing w:after="80" w:line="280"/>
      </w:pPr>
      <w:r>
        <w:t xml:space="preserve">Domain experience and prior exits — Kaplan &amp; Strömberg (2003)</w:t>
      </w:r>
    </w:p>
    <w:p>
      <w:pPr>
        <w:pStyle w:val="ListParagraph"/>
        <w:numPr>
          <w:ilvl w:val="0"/>
          <w:numId w:val="2"/>
        </w:numPr>
        <w:spacing w:after="80" w:line="280"/>
      </w:pPr>
      <w:r>
        <w:t xml:space="preserve">Access to founder capital / personal runway — Bhidé</w:t>
      </w:r>
    </w:p>
    <w:p>
      <w:pPr>
        <w:pStyle w:val="Heading3"/>
        <w:spacing w:after="120" w:before="220"/>
      </w:pPr>
      <w:r>
        <w:t xml:space="preserve">B. Venture factors</w:t>
      </w:r>
    </w:p>
    <w:p>
      <w:pPr>
        <w:pStyle w:val="ListParagraph"/>
        <w:numPr>
          <w:ilvl w:val="0"/>
          <w:numId w:val="2"/>
        </w:numPr>
        <w:spacing w:after="80" w:line="280"/>
      </w:pPr>
      <w:r>
        <w:t xml:space="preserve">Capital intensity (low / medium / high)</w:t>
      </w:r>
    </w:p>
    <w:p>
      <w:pPr>
        <w:pStyle w:val="ListParagraph"/>
        <w:numPr>
          <w:ilvl w:val="0"/>
          <w:numId w:val="2"/>
        </w:numPr>
        <w:spacing w:after="80" w:line="280"/>
      </w:pPr>
      <w:r>
        <w:t xml:space="preserve">Time-to-revenue (months)</w:t>
      </w:r>
    </w:p>
    <w:p>
      <w:pPr>
        <w:pStyle w:val="ListParagraph"/>
        <w:numPr>
          <w:ilvl w:val="0"/>
          <w:numId w:val="2"/>
        </w:numPr>
        <w:spacing w:after="80" w:line="280"/>
      </w:pPr>
      <w:r>
        <w:t xml:space="preserve">Existing traction (pre-revenue, early revenue, scaling)</w:t>
      </w:r>
    </w:p>
    <w:p>
      <w:pPr>
        <w:pStyle w:val="ListParagraph"/>
        <w:numPr>
          <w:ilvl w:val="0"/>
          <w:numId w:val="2"/>
        </w:numPr>
        <w:spacing w:after="80" w:line="280"/>
      </w:pPr>
      <w:r>
        <w:t xml:space="preserve">Defensibility / IP position</w:t>
      </w:r>
    </w:p>
    <w:p>
      <w:pPr>
        <w:pStyle w:val="Heading3"/>
        <w:spacing w:after="120" w:before="220"/>
      </w:pPr>
      <w:r>
        <w:t xml:space="preserve">C. Market factors</w:t>
      </w:r>
    </w:p>
    <w:p>
      <w:pPr>
        <w:pStyle w:val="ListParagraph"/>
        <w:numPr>
          <w:ilvl w:val="0"/>
          <w:numId w:val="2"/>
        </w:numPr>
        <w:spacing w:after="80" w:line="280"/>
      </w:pPr>
      <w:r>
        <w:t xml:space="preserve">Market timing pressure (winner-takes-most vs. patient market)</w:t>
      </w:r>
    </w:p>
    <w:p>
      <w:pPr>
        <w:pStyle w:val="ListParagraph"/>
        <w:numPr>
          <w:ilvl w:val="0"/>
          <w:numId w:val="2"/>
        </w:numPr>
        <w:spacing w:after="80" w:line="280"/>
      </w:pPr>
      <w:r>
        <w:t xml:space="preserve">Competitive density</w:t>
      </w:r>
    </w:p>
    <w:p>
      <w:pPr>
        <w:pStyle w:val="ListParagraph"/>
        <w:numPr>
          <w:ilvl w:val="0"/>
          <w:numId w:val="2"/>
        </w:numPr>
        <w:spacing w:after="80" w:line="280"/>
      </w:pPr>
      <w:r>
        <w:t xml:space="preserve">Customer acquisition cost trajectory</w:t>
      </w:r>
    </w:p>
    <w:p>
      <w:pPr>
        <w:pStyle w:val="Heading3"/>
        <w:spacing w:after="120" w:before="220"/>
      </w:pPr>
      <w:r>
        <w:t xml:space="preserve">D. Strategic factors</w:t>
      </w:r>
    </w:p>
    <w:p>
      <w:pPr>
        <w:pStyle w:val="ListParagraph"/>
        <w:numPr>
          <w:ilvl w:val="0"/>
          <w:numId w:val="2"/>
        </w:numPr>
        <w:spacing w:after="80" w:line="280"/>
      </w:pPr>
      <w:r>
        <w:t xml:space="preserve">Desired exit horizon</w:t>
      </w:r>
    </w:p>
    <w:p>
      <w:pPr>
        <w:pStyle w:val="ListParagraph"/>
        <w:numPr>
          <w:ilvl w:val="0"/>
          <w:numId w:val="2"/>
        </w:numPr>
        <w:spacing w:after="80" w:line="280"/>
      </w:pPr>
      <w:r>
        <w:t xml:space="preserve">Growth ambition (lifestyle, sustainable, hypergrowth)</w:t>
      </w:r>
    </w:p>
    <w:p>
      <w:pPr>
        <w:pStyle w:val="ListParagraph"/>
        <w:numPr>
          <w:ilvl w:val="0"/>
          <w:numId w:val="2"/>
        </w:numPr>
        <w:spacing w:after="80" w:line="280"/>
      </w:pPr>
      <w:r>
        <w:t xml:space="preserve">Need for non-capital VC value-add (network, hires, governance) — Hellmann &amp; Puri (2002)</w:t>
      </w:r>
    </w:p>
    <w:p>
      <w:pPr>
        <w:pStyle w:val="Heading2"/>
        <w:spacing w:after="160" w:before="280"/>
      </w:pPr>
      <w:r>
        <w:t xml:space="preserve">2.2 Layer 2 — Scoring Mechanism</w:t>
      </w:r>
    </w:p>
    <w:p>
      <w:pPr>
        <w:spacing w:after="120" w:line="300"/>
      </w:pPr>
      <w:r>
        <w:t xml:space="preserve">Each factor is scored on a 1–5 Likert-style scale and pulled toward one of two poles: Bootstrapping-favourable (B) or Equity-favourable (E). Apply weights so factors with stronger empirical support (e.g., capital intensity, market timing) carry more influence.</w:t>
      </w:r>
    </w:p>
    <w:p>
      <w:pPr>
        <w:spacing w:after="120" w:line="300"/>
      </w:pPr>
      <w:r>
        <w:rPr>
          <w:b/>
          <w:bCs/>
        </w:rPr>
        <w:t xml:space="preserve">Worked example structure: </w:t>
      </w:r>
      <w:r>
        <w:t xml:space="preserve">a factor like “Capital intensity = high” scores +3 toward Equity; “Founder control preference = high autonomy” scores +3 toward Bootstrapping. Weights are normalised across the four dimensions so no single dimension dominates.</w:t>
      </w:r>
    </w:p>
    <w:p>
      <w:pPr>
        <w:spacing w:after="120" w:line="300"/>
      </w:pPr>
      <w:r>
        <w:t xml:space="preserve">Important: present this as guidance, not as a formula that produces “the” answer. Your supervisor and your validators will react badly to anything that feels like spurious precision. Frame the score as a directional indicator, not a verdict.</w:t>
      </w:r>
    </w:p>
    <w:p>
      <w:pPr>
        <w:pStyle w:val="Heading2"/>
        <w:spacing w:after="160" w:before="280"/>
      </w:pPr>
      <w:r>
        <w:t xml:space="preserve">2.3 Layer 3 — Decision Logic</w:t>
      </w:r>
    </w:p>
    <w:p>
      <w:pPr>
        <w:spacing w:after="120" w:line="300"/>
      </w:pPr>
      <w:r>
        <w:t xml:space="preserve">Translate the score into one of four zones: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800"/>
        <w:gridCol w:w="4760"/>
      </w:tblGrid>
      <w:tr>
        <w:tc>
          <w:tcPr>
            <w:tcW w:type="dxa" w:w="1800"/>
            <w:tcBorders>
              <w:top w:val="single" w:color="B0B0B0" w:sz="4"/>
              <w:left w:val="single" w:color="B0B0B0" w:sz="4"/>
              <w:bottom w:val="single" w:color="B0B0B0" w:sz="4"/>
              <w:right w:val="single" w:color="B0B0B0" w:sz="4"/>
            </w:tcBorders>
            <w:shd w:fill="1F4E79" w:val="clear"/>
            <w:tcMar>
              <w:top w:type="dxa" w:w="100"/>
              <w:left w:type="dxa" w:w="140"/>
              <w:bottom w:type="dxa" w:w="100"/>
              <w:right w:type="dxa" w:w="140"/>
            </w:tcMar>
          </w:tcPr>
          <w:p>
            <w:pPr>
              <w:spacing w:after="0"/>
            </w:pPr>
            <w:r>
              <w:rPr>
                <w:b/>
                <w:bCs/>
                <w:color w:val="FFFFFF"/>
                <w:sz w:val="20"/>
                <w:szCs w:val="20"/>
              </w:rPr>
              <w:t xml:space="preserve">Zone</w:t>
            </w:r>
          </w:p>
        </w:tc>
        <w:tc>
          <w:tcPr>
            <w:tcW w:type="dxa" w:w="2800"/>
            <w:tcBorders>
              <w:top w:val="single" w:color="B0B0B0" w:sz="4"/>
              <w:left w:val="single" w:color="B0B0B0" w:sz="4"/>
              <w:bottom w:val="single" w:color="B0B0B0" w:sz="4"/>
              <w:right w:val="single" w:color="B0B0B0" w:sz="4"/>
            </w:tcBorders>
            <w:shd w:fill="1F4E79" w:val="clear"/>
            <w:tcMar>
              <w:top w:type="dxa" w:w="100"/>
              <w:left w:type="dxa" w:w="140"/>
              <w:bottom w:type="dxa" w:w="100"/>
              <w:right w:type="dxa" w:w="140"/>
            </w:tcMar>
          </w:tcPr>
          <w:p>
            <w:pPr>
              <w:spacing w:after="0"/>
            </w:pPr>
            <w:r>
              <w:rPr>
                <w:b/>
                <w:bCs/>
                <w:color w:val="FFFFFF"/>
                <w:sz w:val="20"/>
                <w:szCs w:val="20"/>
              </w:rPr>
              <w:t xml:space="preserve">Score range</w:t>
            </w:r>
          </w:p>
        </w:tc>
        <w:tc>
          <w:tcPr>
            <w:tcW w:type="dxa" w:w="4760"/>
            <w:tcBorders>
              <w:top w:val="single" w:color="B0B0B0" w:sz="4"/>
              <w:left w:val="single" w:color="B0B0B0" w:sz="4"/>
              <w:bottom w:val="single" w:color="B0B0B0" w:sz="4"/>
              <w:right w:val="single" w:color="B0B0B0" w:sz="4"/>
            </w:tcBorders>
            <w:shd w:fill="1F4E79" w:val="clear"/>
            <w:tcMar>
              <w:top w:type="dxa" w:w="100"/>
              <w:left w:type="dxa" w:w="140"/>
              <w:bottom w:type="dxa" w:w="100"/>
              <w:right w:type="dxa" w:w="140"/>
            </w:tcMar>
          </w:tcPr>
          <w:p>
            <w:pPr>
              <w:spacing w:after="0"/>
            </w:pPr>
            <w:r>
              <w:rPr>
                <w:b/>
                <w:bCs/>
                <w:color w:val="FFFFFF"/>
                <w:sz w:val="20"/>
                <w:szCs w:val="20"/>
              </w:rPr>
              <w:t xml:space="preserve">Interpretation</w:t>
            </w:r>
          </w:p>
        </w:tc>
      </w:tr>
      <w:tr>
        <w:tc>
          <w:tcPr>
            <w:tcW w:type="dxa" w:w="180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spacing w:after="0"/>
            </w:pPr>
            <w:r>
              <w:rPr>
                <w:b w:val="false"/>
                <w:bCs w:val="false"/>
                <w:sz w:val="20"/>
                <w:szCs w:val="20"/>
              </w:rPr>
              <w:t xml:space="preserve">Strong Bootstrap</w:t>
            </w:r>
          </w:p>
        </w:tc>
        <w:tc>
          <w:tcPr>
            <w:tcW w:type="dxa" w:w="280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spacing w:after="0"/>
            </w:pPr>
            <w:r>
              <w:rPr>
                <w:b w:val="false"/>
                <w:bCs w:val="false"/>
                <w:sz w:val="20"/>
                <w:szCs w:val="20"/>
              </w:rPr>
              <w:t xml:space="preserve">Heavy B-pull across ≥3 dimensions</w:t>
            </w:r>
          </w:p>
        </w:tc>
        <w:tc>
          <w:tcPr>
            <w:tcW w:type="dxa" w:w="476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spacing w:after="0"/>
            </w:pPr>
            <w:r>
              <w:rPr>
                <w:b w:val="false"/>
                <w:bCs w:val="false"/>
                <w:sz w:val="20"/>
                <w:szCs w:val="20"/>
              </w:rPr>
              <w:t xml:space="preserve">Bootstrap with intent. Equity now would over-dilute relative to actual capital need.</w:t>
            </w:r>
          </w:p>
        </w:tc>
      </w:tr>
      <w:tr>
        <w:tc>
          <w:tcPr>
            <w:tcW w:type="dxa" w:w="1800"/>
            <w:tcBorders>
              <w:top w:val="single" w:color="B0B0B0" w:sz="4"/>
              <w:left w:val="single" w:color="B0B0B0" w:sz="4"/>
              <w:bottom w:val="single" w:color="B0B0B0" w:sz="4"/>
              <w:right w:val="single" w:color="B0B0B0" w:sz="4"/>
            </w:tcBorders>
            <w:shd w:fill="F2F2F2" w:val="clear"/>
            <w:tcMar>
              <w:top w:type="dxa" w:w="100"/>
              <w:left w:type="dxa" w:w="140"/>
              <w:bottom w:type="dxa" w:w="100"/>
              <w:right w:type="dxa" w:w="140"/>
            </w:tcMar>
          </w:tcPr>
          <w:p>
            <w:pPr>
              <w:spacing w:after="0"/>
            </w:pPr>
            <w:r>
              <w:rPr>
                <w:b w:val="false"/>
                <w:bCs w:val="false"/>
                <w:sz w:val="20"/>
                <w:szCs w:val="20"/>
              </w:rPr>
              <w:t xml:space="preserve">Bootstrap-leaning</w:t>
            </w:r>
          </w:p>
        </w:tc>
        <w:tc>
          <w:tcPr>
            <w:tcW w:type="dxa" w:w="2800"/>
            <w:tcBorders>
              <w:top w:val="single" w:color="B0B0B0" w:sz="4"/>
              <w:left w:val="single" w:color="B0B0B0" w:sz="4"/>
              <w:bottom w:val="single" w:color="B0B0B0" w:sz="4"/>
              <w:right w:val="single" w:color="B0B0B0" w:sz="4"/>
            </w:tcBorders>
            <w:shd w:fill="F2F2F2" w:val="clear"/>
            <w:tcMar>
              <w:top w:type="dxa" w:w="100"/>
              <w:left w:type="dxa" w:w="140"/>
              <w:bottom w:type="dxa" w:w="100"/>
              <w:right w:type="dxa" w:w="140"/>
            </w:tcMar>
          </w:tcPr>
          <w:p>
            <w:pPr>
              <w:spacing w:after="0"/>
            </w:pPr>
            <w:r>
              <w:rPr>
                <w:b w:val="false"/>
                <w:bCs w:val="false"/>
                <w:sz w:val="20"/>
                <w:szCs w:val="20"/>
              </w:rPr>
              <w:t xml:space="preserve">Moderate B-pull, 1–2 E factors</w:t>
            </w:r>
          </w:p>
        </w:tc>
        <w:tc>
          <w:tcPr>
            <w:tcW w:type="dxa" w:w="4760"/>
            <w:tcBorders>
              <w:top w:val="single" w:color="B0B0B0" w:sz="4"/>
              <w:left w:val="single" w:color="B0B0B0" w:sz="4"/>
              <w:bottom w:val="single" w:color="B0B0B0" w:sz="4"/>
              <w:right w:val="single" w:color="B0B0B0" w:sz="4"/>
            </w:tcBorders>
            <w:shd w:fill="F2F2F2" w:val="clear"/>
            <w:tcMar>
              <w:top w:type="dxa" w:w="100"/>
              <w:left w:type="dxa" w:w="140"/>
              <w:bottom w:type="dxa" w:w="100"/>
              <w:right w:type="dxa" w:w="140"/>
            </w:tcMar>
          </w:tcPr>
          <w:p>
            <w:pPr>
              <w:spacing w:after="0"/>
            </w:pPr>
            <w:r>
              <w:rPr>
                <w:b w:val="false"/>
                <w:bCs w:val="false"/>
                <w:sz w:val="20"/>
                <w:szCs w:val="20"/>
              </w:rPr>
              <w:t xml:space="preserve">Bootstrap initially; design for an option to raise later when traction de-risks the round.</w:t>
            </w:r>
          </w:p>
        </w:tc>
      </w:tr>
      <w:tr>
        <w:tc>
          <w:tcPr>
            <w:tcW w:type="dxa" w:w="180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spacing w:after="0"/>
            </w:pPr>
            <w:r>
              <w:rPr>
                <w:b w:val="false"/>
                <w:bCs w:val="false"/>
                <w:sz w:val="20"/>
                <w:szCs w:val="20"/>
              </w:rPr>
              <w:t xml:space="preserve">Equity-leaning</w:t>
            </w:r>
          </w:p>
        </w:tc>
        <w:tc>
          <w:tcPr>
            <w:tcW w:type="dxa" w:w="280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spacing w:after="0"/>
            </w:pPr>
            <w:r>
              <w:rPr>
                <w:b w:val="false"/>
                <w:bCs w:val="false"/>
                <w:sz w:val="20"/>
                <w:szCs w:val="20"/>
              </w:rPr>
              <w:t xml:space="preserve">Moderate E-pull, 1–2 B factors</w:t>
            </w:r>
          </w:p>
        </w:tc>
        <w:tc>
          <w:tcPr>
            <w:tcW w:type="dxa" w:w="476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spacing w:after="0"/>
            </w:pPr>
            <w:r>
              <w:rPr>
                <w:b w:val="false"/>
                <w:bCs w:val="false"/>
                <w:sz w:val="20"/>
                <w:szCs w:val="20"/>
              </w:rPr>
              <w:t xml:space="preserve">Raise, but stage it (pre-seed, then seed) and prioritise investor fit on Hellmann &amp; Puri value-add.</w:t>
            </w:r>
          </w:p>
        </w:tc>
      </w:tr>
      <w:tr>
        <w:tc>
          <w:tcPr>
            <w:tcW w:type="dxa" w:w="1800"/>
            <w:tcBorders>
              <w:top w:val="single" w:color="B0B0B0" w:sz="4"/>
              <w:left w:val="single" w:color="B0B0B0" w:sz="4"/>
              <w:bottom w:val="single" w:color="B0B0B0" w:sz="4"/>
              <w:right w:val="single" w:color="B0B0B0" w:sz="4"/>
            </w:tcBorders>
            <w:shd w:fill="F2F2F2" w:val="clear"/>
            <w:tcMar>
              <w:top w:type="dxa" w:w="100"/>
              <w:left w:type="dxa" w:w="140"/>
              <w:bottom w:type="dxa" w:w="100"/>
              <w:right w:type="dxa" w:w="140"/>
            </w:tcMar>
          </w:tcPr>
          <w:p>
            <w:pPr>
              <w:spacing w:after="0"/>
            </w:pPr>
            <w:r>
              <w:rPr>
                <w:b w:val="false"/>
                <w:bCs w:val="false"/>
                <w:sz w:val="20"/>
                <w:szCs w:val="20"/>
              </w:rPr>
              <w:t xml:space="preserve">Strong Equity</w:t>
            </w:r>
          </w:p>
        </w:tc>
        <w:tc>
          <w:tcPr>
            <w:tcW w:type="dxa" w:w="2800"/>
            <w:tcBorders>
              <w:top w:val="single" w:color="B0B0B0" w:sz="4"/>
              <w:left w:val="single" w:color="B0B0B0" w:sz="4"/>
              <w:bottom w:val="single" w:color="B0B0B0" w:sz="4"/>
              <w:right w:val="single" w:color="B0B0B0" w:sz="4"/>
            </w:tcBorders>
            <w:shd w:fill="F2F2F2" w:val="clear"/>
            <w:tcMar>
              <w:top w:type="dxa" w:w="100"/>
              <w:left w:type="dxa" w:w="140"/>
              <w:bottom w:type="dxa" w:w="100"/>
              <w:right w:type="dxa" w:w="140"/>
            </w:tcMar>
          </w:tcPr>
          <w:p>
            <w:pPr>
              <w:spacing w:after="0"/>
            </w:pPr>
            <w:r>
              <w:rPr>
                <w:b w:val="false"/>
                <w:bCs w:val="false"/>
                <w:sz w:val="20"/>
                <w:szCs w:val="20"/>
              </w:rPr>
              <w:t xml:space="preserve">Heavy E-pull across ≥3 dimensions</w:t>
            </w:r>
          </w:p>
        </w:tc>
        <w:tc>
          <w:tcPr>
            <w:tcW w:type="dxa" w:w="4760"/>
            <w:tcBorders>
              <w:top w:val="single" w:color="B0B0B0" w:sz="4"/>
              <w:left w:val="single" w:color="B0B0B0" w:sz="4"/>
              <w:bottom w:val="single" w:color="B0B0B0" w:sz="4"/>
              <w:right w:val="single" w:color="B0B0B0" w:sz="4"/>
            </w:tcBorders>
            <w:shd w:fill="F2F2F2" w:val="clear"/>
            <w:tcMar>
              <w:top w:type="dxa" w:w="100"/>
              <w:left w:type="dxa" w:w="140"/>
              <w:bottom w:type="dxa" w:w="100"/>
              <w:right w:type="dxa" w:w="140"/>
            </w:tcMar>
          </w:tcPr>
          <w:p>
            <w:pPr>
              <w:spacing w:after="0"/>
            </w:pPr>
            <w:r>
              <w:rPr>
                <w:b w:val="false"/>
                <w:bCs w:val="false"/>
                <w:sz w:val="20"/>
                <w:szCs w:val="20"/>
              </w:rPr>
              <w:t xml:space="preserve">Raise meaningful capital; capital intensity or market timing makes bootstrapping a liability.</w:t>
            </w:r>
          </w:p>
        </w:tc>
      </w:tr>
    </w:tbl>
    <w:p>
      <w:pPr>
        <w:pStyle w:val="Heading2"/>
        <w:spacing w:after="160" w:before="280"/>
      </w:pPr>
      <w:r>
        <w:t xml:space="preserve">2.4 Layer 4 — Output: A Decision Brief</w:t>
      </w:r>
    </w:p>
    <w:p>
      <w:pPr>
        <w:spacing w:after="120" w:line="300"/>
      </w:pPr>
      <w:r>
        <w:t xml:space="preserve">The SFDF output is not a single recommendation; it is a one-page decision brief containing:</w:t>
      </w:r>
    </w:p>
    <w:p>
      <w:pPr>
        <w:pStyle w:val="ListParagraph"/>
        <w:numPr>
          <w:ilvl w:val="0"/>
          <w:numId w:val="3"/>
        </w:numPr>
        <w:spacing w:after="80" w:line="280"/>
      </w:pPr>
      <w:r>
        <w:t xml:space="preserve">The zone the founder lands in.</w:t>
      </w:r>
    </w:p>
    <w:p>
      <w:pPr>
        <w:pStyle w:val="ListParagraph"/>
        <w:numPr>
          <w:ilvl w:val="0"/>
          <w:numId w:val="3"/>
        </w:numPr>
        <w:spacing w:after="80" w:line="280"/>
      </w:pPr>
      <w:r>
        <w:t xml:space="preserve">The 2–3 strongest factors pulling them there (so they understand the why).</w:t>
      </w:r>
    </w:p>
    <w:p>
      <w:pPr>
        <w:pStyle w:val="ListParagraph"/>
        <w:numPr>
          <w:ilvl w:val="0"/>
          <w:numId w:val="3"/>
        </w:numPr>
        <w:spacing w:after="80" w:line="280"/>
      </w:pPr>
      <w:r>
        <w:t xml:space="preserve">The 1–2 factors most in tension (the “watch-outs”).</w:t>
      </w:r>
    </w:p>
    <w:p>
      <w:pPr>
        <w:pStyle w:val="ListParagraph"/>
        <w:numPr>
          <w:ilvl w:val="0"/>
          <w:numId w:val="3"/>
        </w:numPr>
        <w:spacing w:after="80" w:line="280"/>
      </w:pPr>
      <w:r>
        <w:t xml:space="preserve">Suggested next actions for the chosen path (e.g., “if bootstrapping: prioritise revenue-financing instruments, customer pre-payments, grants — Winborg &amp; Landström”).</w:t>
      </w:r>
    </w:p>
    <w:p>
      <w:pPr>
        <w:spacing w:after="120" w:line="300"/>
      </w:pPr>
      <w:r>
        <w:t xml:space="preserve">This output structure is what makes the artifact practical and what you will put in front of practitioners at SIM. They cannot critique an abstract framework, but they can absolutely critique a one-page brief.</w:t>
      </w:r>
    </w:p>
    <w:p>
      <w:r>
        <w:br w:type="page"/>
      </w:r>
    </w:p>
    <w:p>
      <w:pPr>
        <w:pStyle w:val="Heading1"/>
        <w:spacing w:after="200" w:before="360"/>
      </w:pPr>
      <w:r>
        <w:t xml:space="preserve">3. Phase 1 — Pre-Conference Build</w:t>
      </w:r>
    </w:p>
    <w:p>
      <w:pPr>
        <w:spacing w:after="120" w:line="300"/>
      </w:pPr>
      <w:r>
        <w:rPr>
          <w:b/>
          <w:bCs/>
        </w:rPr>
        <w:t xml:space="preserve">Time required: </w:t>
      </w:r>
      <w:r>
        <w:t xml:space="preserve">7–10 working days before SIM. Start immediately.</w:t>
      </w:r>
    </w:p>
    <w:p>
      <w:pPr>
        <w:pStyle w:val="Heading2"/>
        <w:spacing w:after="160" w:before="280"/>
      </w:pPr>
      <w:r>
        <w:t xml:space="preserve">3.1 Day-by-day schedule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5560"/>
        <w:gridCol w:w="2700"/>
      </w:tblGrid>
      <w:tr>
        <w:tc>
          <w:tcPr>
            <w:tcW w:type="dxa" w:w="1100"/>
            <w:tcBorders>
              <w:top w:val="single" w:color="B0B0B0" w:sz="4"/>
              <w:left w:val="single" w:color="B0B0B0" w:sz="4"/>
              <w:bottom w:val="single" w:color="B0B0B0" w:sz="4"/>
              <w:right w:val="single" w:color="B0B0B0" w:sz="4"/>
            </w:tcBorders>
            <w:shd w:fill="1F4E79" w:val="clear"/>
            <w:tcMar>
              <w:top w:type="dxa" w:w="100"/>
              <w:left w:type="dxa" w:w="140"/>
              <w:bottom w:type="dxa" w:w="100"/>
              <w:right w:type="dxa" w:w="140"/>
            </w:tcMar>
          </w:tcPr>
          <w:p>
            <w:pPr>
              <w:spacing w:after="0"/>
            </w:pPr>
            <w:r>
              <w:rPr>
                <w:b/>
                <w:bCs/>
                <w:color w:val="FFFFFF"/>
                <w:sz w:val="20"/>
                <w:szCs w:val="20"/>
              </w:rPr>
              <w:t xml:space="preserve">Day</w:t>
            </w:r>
          </w:p>
        </w:tc>
        <w:tc>
          <w:tcPr>
            <w:tcW w:type="dxa" w:w="5560"/>
            <w:tcBorders>
              <w:top w:val="single" w:color="B0B0B0" w:sz="4"/>
              <w:left w:val="single" w:color="B0B0B0" w:sz="4"/>
              <w:bottom w:val="single" w:color="B0B0B0" w:sz="4"/>
              <w:right w:val="single" w:color="B0B0B0" w:sz="4"/>
            </w:tcBorders>
            <w:shd w:fill="1F4E79" w:val="clear"/>
            <w:tcMar>
              <w:top w:type="dxa" w:w="100"/>
              <w:left w:type="dxa" w:w="140"/>
              <w:bottom w:type="dxa" w:w="100"/>
              <w:right w:type="dxa" w:w="140"/>
            </w:tcMar>
          </w:tcPr>
          <w:p>
            <w:pPr>
              <w:spacing w:after="0"/>
            </w:pPr>
            <w:r>
              <w:rPr>
                <w:b/>
                <w:bCs/>
                <w:color w:val="FFFFFF"/>
                <w:sz w:val="20"/>
                <w:szCs w:val="20"/>
              </w:rPr>
              <w:t xml:space="preserve">Deliverable</w:t>
            </w:r>
          </w:p>
        </w:tc>
        <w:tc>
          <w:tcPr>
            <w:tcW w:type="dxa" w:w="2700"/>
            <w:tcBorders>
              <w:top w:val="single" w:color="B0B0B0" w:sz="4"/>
              <w:left w:val="single" w:color="B0B0B0" w:sz="4"/>
              <w:bottom w:val="single" w:color="B0B0B0" w:sz="4"/>
              <w:right w:val="single" w:color="B0B0B0" w:sz="4"/>
            </w:tcBorders>
            <w:shd w:fill="1F4E79" w:val="clear"/>
            <w:tcMar>
              <w:top w:type="dxa" w:w="100"/>
              <w:left w:type="dxa" w:w="140"/>
              <w:bottom w:type="dxa" w:w="100"/>
              <w:right w:type="dxa" w:w="140"/>
            </w:tcMar>
          </w:tcPr>
          <w:p>
            <w:pPr>
              <w:spacing w:after="0"/>
            </w:pPr>
            <w:r>
              <w:rPr>
                <w:b/>
                <w:bCs/>
                <w:color w:val="FFFFFF"/>
                <w:sz w:val="20"/>
                <w:szCs w:val="20"/>
              </w:rPr>
              <w:t xml:space="preserve">Output file</w:t>
            </w:r>
          </w:p>
        </w:tc>
      </w:tr>
      <w:tr>
        <w:tc>
          <w:tcPr>
            <w:tcW w:type="dxa" w:w="110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spacing w:after="0"/>
            </w:pPr>
            <w:r>
              <w:rPr>
                <w:b w:val="false"/>
                <w:bCs w:val="false"/>
                <w:sz w:val="20"/>
                <w:szCs w:val="20"/>
              </w:rPr>
              <w:t xml:space="preserve">Day 1</w:t>
            </w:r>
          </w:p>
        </w:tc>
        <w:tc>
          <w:tcPr>
            <w:tcW w:type="dxa" w:w="556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spacing w:after="0"/>
            </w:pPr>
            <w:r>
              <w:rPr>
                <w:b w:val="false"/>
                <w:bCs w:val="false"/>
                <w:sz w:val="20"/>
                <w:szCs w:val="20"/>
              </w:rPr>
              <w:t xml:space="preserve">Finalise the four factor groups and the full factor list (target: 12–16 factors total). Cross-check each against your SLR to confirm a citation exists.</w:t>
            </w:r>
          </w:p>
        </w:tc>
        <w:tc>
          <w:tcPr>
            <w:tcW w:type="dxa" w:w="270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spacing w:after="0"/>
            </w:pPr>
            <w:r>
              <w:rPr>
                <w:b w:val="false"/>
                <w:bCs w:val="false"/>
                <w:sz w:val="20"/>
                <w:szCs w:val="20"/>
              </w:rPr>
              <w:t xml:space="preserve">SFDF_factors_v1.docx</w:t>
            </w:r>
          </w:p>
        </w:tc>
      </w:tr>
      <w:tr>
        <w:tc>
          <w:tcPr>
            <w:tcW w:type="dxa" w:w="1100"/>
            <w:tcBorders>
              <w:top w:val="single" w:color="B0B0B0" w:sz="4"/>
              <w:left w:val="single" w:color="B0B0B0" w:sz="4"/>
              <w:bottom w:val="single" w:color="B0B0B0" w:sz="4"/>
              <w:right w:val="single" w:color="B0B0B0" w:sz="4"/>
            </w:tcBorders>
            <w:shd w:fill="F2F2F2" w:val="clear"/>
            <w:tcMar>
              <w:top w:type="dxa" w:w="100"/>
              <w:left w:type="dxa" w:w="140"/>
              <w:bottom w:type="dxa" w:w="100"/>
              <w:right w:type="dxa" w:w="140"/>
            </w:tcMar>
          </w:tcPr>
          <w:p>
            <w:pPr>
              <w:spacing w:after="0"/>
            </w:pPr>
            <w:r>
              <w:rPr>
                <w:b w:val="false"/>
                <w:bCs w:val="false"/>
                <w:sz w:val="20"/>
                <w:szCs w:val="20"/>
              </w:rPr>
              <w:t xml:space="preserve">Day 2</w:t>
            </w:r>
          </w:p>
        </w:tc>
        <w:tc>
          <w:tcPr>
            <w:tcW w:type="dxa" w:w="5560"/>
            <w:tcBorders>
              <w:top w:val="single" w:color="B0B0B0" w:sz="4"/>
              <w:left w:val="single" w:color="B0B0B0" w:sz="4"/>
              <w:bottom w:val="single" w:color="B0B0B0" w:sz="4"/>
              <w:right w:val="single" w:color="B0B0B0" w:sz="4"/>
            </w:tcBorders>
            <w:shd w:fill="F2F2F2" w:val="clear"/>
            <w:tcMar>
              <w:top w:type="dxa" w:w="100"/>
              <w:left w:type="dxa" w:w="140"/>
              <w:bottom w:type="dxa" w:w="100"/>
              <w:right w:type="dxa" w:w="140"/>
            </w:tcMar>
          </w:tcPr>
          <w:p>
            <w:pPr>
              <w:spacing w:after="0"/>
            </w:pPr>
            <w:r>
              <w:rPr>
                <w:b w:val="false"/>
                <w:bCs w:val="false"/>
                <w:sz w:val="20"/>
                <w:szCs w:val="20"/>
              </w:rPr>
              <w:t xml:space="preserve">Build the scoring mechanism in Excel. Each factor → 1–5 scale → B/E pull → weighted contribution → final score and zone. Test with 2–3 hypothetical cases.</w:t>
            </w:r>
          </w:p>
        </w:tc>
        <w:tc>
          <w:tcPr>
            <w:tcW w:type="dxa" w:w="2700"/>
            <w:tcBorders>
              <w:top w:val="single" w:color="B0B0B0" w:sz="4"/>
              <w:left w:val="single" w:color="B0B0B0" w:sz="4"/>
              <w:bottom w:val="single" w:color="B0B0B0" w:sz="4"/>
              <w:right w:val="single" w:color="B0B0B0" w:sz="4"/>
            </w:tcBorders>
            <w:shd w:fill="F2F2F2" w:val="clear"/>
            <w:tcMar>
              <w:top w:type="dxa" w:w="100"/>
              <w:left w:type="dxa" w:w="140"/>
              <w:bottom w:type="dxa" w:w="100"/>
              <w:right w:type="dxa" w:w="140"/>
            </w:tcMar>
          </w:tcPr>
          <w:p>
            <w:pPr>
              <w:spacing w:after="0"/>
            </w:pPr>
            <w:r>
              <w:rPr>
                <w:b w:val="false"/>
                <w:bCs w:val="false"/>
                <w:sz w:val="20"/>
                <w:szCs w:val="20"/>
              </w:rPr>
              <w:t xml:space="preserve">SFDF_scoring_v1.xlsx</w:t>
            </w:r>
          </w:p>
        </w:tc>
      </w:tr>
      <w:tr>
        <w:tc>
          <w:tcPr>
            <w:tcW w:type="dxa" w:w="110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spacing w:after="0"/>
            </w:pPr>
            <w:r>
              <w:rPr>
                <w:b w:val="false"/>
                <w:bCs w:val="false"/>
                <w:sz w:val="20"/>
                <w:szCs w:val="20"/>
              </w:rPr>
              <w:t xml:space="preserve">Day 3</w:t>
            </w:r>
          </w:p>
        </w:tc>
        <w:tc>
          <w:tcPr>
            <w:tcW w:type="dxa" w:w="556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spacing w:after="0"/>
            </w:pPr>
            <w:r>
              <w:rPr>
                <w:b w:val="false"/>
                <w:bCs w:val="false"/>
                <w:sz w:val="20"/>
                <w:szCs w:val="20"/>
              </w:rPr>
              <w:t xml:space="preserve">Draft the one-page Decision Brief template. This is what you will print and hand to validators at SIM.</w:t>
            </w:r>
          </w:p>
        </w:tc>
        <w:tc>
          <w:tcPr>
            <w:tcW w:type="dxa" w:w="270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spacing w:after="0"/>
            </w:pPr>
            <w:r>
              <w:rPr>
                <w:b w:val="false"/>
                <w:bCs w:val="false"/>
                <w:sz w:val="20"/>
                <w:szCs w:val="20"/>
              </w:rPr>
              <w:t xml:space="preserve">SFDF_brief_template.docx</w:t>
            </w:r>
          </w:p>
        </w:tc>
      </w:tr>
      <w:tr>
        <w:tc>
          <w:tcPr>
            <w:tcW w:type="dxa" w:w="1100"/>
            <w:tcBorders>
              <w:top w:val="single" w:color="B0B0B0" w:sz="4"/>
              <w:left w:val="single" w:color="B0B0B0" w:sz="4"/>
              <w:bottom w:val="single" w:color="B0B0B0" w:sz="4"/>
              <w:right w:val="single" w:color="B0B0B0" w:sz="4"/>
            </w:tcBorders>
            <w:shd w:fill="F2F2F2" w:val="clear"/>
            <w:tcMar>
              <w:top w:type="dxa" w:w="100"/>
              <w:left w:type="dxa" w:w="140"/>
              <w:bottom w:type="dxa" w:w="100"/>
              <w:right w:type="dxa" w:w="140"/>
            </w:tcMar>
          </w:tcPr>
          <w:p>
            <w:pPr>
              <w:spacing w:after="0"/>
            </w:pPr>
            <w:r>
              <w:rPr>
                <w:b w:val="false"/>
                <w:bCs w:val="false"/>
                <w:sz w:val="20"/>
                <w:szCs w:val="20"/>
              </w:rPr>
              <w:t xml:space="preserve">Day 4</w:t>
            </w:r>
          </w:p>
        </w:tc>
        <w:tc>
          <w:tcPr>
            <w:tcW w:type="dxa" w:w="5560"/>
            <w:tcBorders>
              <w:top w:val="single" w:color="B0B0B0" w:sz="4"/>
              <w:left w:val="single" w:color="B0B0B0" w:sz="4"/>
              <w:bottom w:val="single" w:color="B0B0B0" w:sz="4"/>
              <w:right w:val="single" w:color="B0B0B0" w:sz="4"/>
            </w:tcBorders>
            <w:shd w:fill="F2F2F2" w:val="clear"/>
            <w:tcMar>
              <w:top w:type="dxa" w:w="100"/>
              <w:left w:type="dxa" w:w="140"/>
              <w:bottom w:type="dxa" w:w="100"/>
              <w:right w:type="dxa" w:w="140"/>
            </w:tcMar>
          </w:tcPr>
          <w:p>
            <w:pPr>
              <w:spacing w:after="0"/>
            </w:pPr>
            <w:r>
              <w:rPr>
                <w:b w:val="false"/>
                <w:bCs w:val="false"/>
                <w:sz w:val="20"/>
                <w:szCs w:val="20"/>
              </w:rPr>
              <w:t xml:space="preserve">Build the validation instruments (see Section 4 below): the artifact walkthrough script, the structured feedback form, and the post-session interview guide.</w:t>
            </w:r>
          </w:p>
        </w:tc>
        <w:tc>
          <w:tcPr>
            <w:tcW w:type="dxa" w:w="2700"/>
            <w:tcBorders>
              <w:top w:val="single" w:color="B0B0B0" w:sz="4"/>
              <w:left w:val="single" w:color="B0B0B0" w:sz="4"/>
              <w:bottom w:val="single" w:color="B0B0B0" w:sz="4"/>
              <w:right w:val="single" w:color="B0B0B0" w:sz="4"/>
            </w:tcBorders>
            <w:shd w:fill="F2F2F2" w:val="clear"/>
            <w:tcMar>
              <w:top w:type="dxa" w:w="100"/>
              <w:left w:type="dxa" w:w="140"/>
              <w:bottom w:type="dxa" w:w="100"/>
              <w:right w:type="dxa" w:w="140"/>
            </w:tcMar>
          </w:tcPr>
          <w:p>
            <w:pPr>
              <w:spacing w:after="0"/>
            </w:pPr>
            <w:r>
              <w:rPr>
                <w:b w:val="false"/>
                <w:bCs w:val="false"/>
                <w:sz w:val="20"/>
                <w:szCs w:val="20"/>
              </w:rPr>
              <w:t xml:space="preserve">SFDF_validation_pack.docx</w:t>
            </w:r>
          </w:p>
        </w:tc>
      </w:tr>
      <w:tr>
        <w:tc>
          <w:tcPr>
            <w:tcW w:type="dxa" w:w="110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spacing w:after="0"/>
            </w:pPr>
            <w:r>
              <w:rPr>
                <w:b w:val="false"/>
                <w:bCs w:val="false"/>
                <w:sz w:val="20"/>
                <w:szCs w:val="20"/>
              </w:rPr>
              <w:t xml:space="preserve">Day 5</w:t>
            </w:r>
          </w:p>
        </w:tc>
        <w:tc>
          <w:tcPr>
            <w:tcW w:type="dxa" w:w="556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spacing w:after="0"/>
            </w:pPr>
            <w:r>
              <w:rPr>
                <w:b w:val="false"/>
                <w:bCs w:val="false"/>
                <w:sz w:val="20"/>
                <w:szCs w:val="20"/>
              </w:rPr>
              <w:t xml:space="preserve">Run a dry-run with 1–2 peers (e.g., MIETE classmates) or your supervisor. Time the walkthrough — it must fit a 15-minute conversation slot.</w:t>
            </w:r>
          </w:p>
        </w:tc>
        <w:tc>
          <w:tcPr>
            <w:tcW w:type="dxa" w:w="270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spacing w:after="0"/>
            </w:pPr>
            <w:r>
              <w:rPr>
                <w:b w:val="false"/>
                <w:bCs w:val="false"/>
                <w:sz w:val="20"/>
                <w:szCs w:val="20"/>
              </w:rPr>
              <w:t xml:space="preserve">Notes + revisions</w:t>
            </w:r>
          </w:p>
        </w:tc>
      </w:tr>
      <w:tr>
        <w:tc>
          <w:tcPr>
            <w:tcW w:type="dxa" w:w="1100"/>
            <w:tcBorders>
              <w:top w:val="single" w:color="B0B0B0" w:sz="4"/>
              <w:left w:val="single" w:color="B0B0B0" w:sz="4"/>
              <w:bottom w:val="single" w:color="B0B0B0" w:sz="4"/>
              <w:right w:val="single" w:color="B0B0B0" w:sz="4"/>
            </w:tcBorders>
            <w:shd w:fill="F2F2F2" w:val="clear"/>
            <w:tcMar>
              <w:top w:type="dxa" w:w="100"/>
              <w:left w:type="dxa" w:w="140"/>
              <w:bottom w:type="dxa" w:w="100"/>
              <w:right w:type="dxa" w:w="140"/>
            </w:tcMar>
          </w:tcPr>
          <w:p>
            <w:pPr>
              <w:spacing w:after="0"/>
            </w:pPr>
            <w:r>
              <w:rPr>
                <w:b w:val="false"/>
                <w:bCs w:val="false"/>
                <w:sz w:val="20"/>
                <w:szCs w:val="20"/>
              </w:rPr>
              <w:t xml:space="preserve">Day 6</w:t>
            </w:r>
          </w:p>
        </w:tc>
        <w:tc>
          <w:tcPr>
            <w:tcW w:type="dxa" w:w="5560"/>
            <w:tcBorders>
              <w:top w:val="single" w:color="B0B0B0" w:sz="4"/>
              <w:left w:val="single" w:color="B0B0B0" w:sz="4"/>
              <w:bottom w:val="single" w:color="B0B0B0" w:sz="4"/>
              <w:right w:val="single" w:color="B0B0B0" w:sz="4"/>
            </w:tcBorders>
            <w:shd w:fill="F2F2F2" w:val="clear"/>
            <w:tcMar>
              <w:top w:type="dxa" w:w="100"/>
              <w:left w:type="dxa" w:w="140"/>
              <w:bottom w:type="dxa" w:w="100"/>
              <w:right w:type="dxa" w:w="140"/>
            </w:tcMar>
          </w:tcPr>
          <w:p>
            <w:pPr>
              <w:spacing w:after="0"/>
            </w:pPr>
            <w:r>
              <w:rPr>
                <w:b w:val="false"/>
                <w:bCs w:val="false"/>
                <w:sz w:val="20"/>
                <w:szCs w:val="20"/>
              </w:rPr>
              <w:t xml:space="preserve">Revise based on dry-run. Lock SFDF v1.</w:t>
            </w:r>
          </w:p>
        </w:tc>
        <w:tc>
          <w:tcPr>
            <w:tcW w:type="dxa" w:w="2700"/>
            <w:tcBorders>
              <w:top w:val="single" w:color="B0B0B0" w:sz="4"/>
              <w:left w:val="single" w:color="B0B0B0" w:sz="4"/>
              <w:bottom w:val="single" w:color="B0B0B0" w:sz="4"/>
              <w:right w:val="single" w:color="B0B0B0" w:sz="4"/>
            </w:tcBorders>
            <w:shd w:fill="F2F2F2" w:val="clear"/>
            <w:tcMar>
              <w:top w:type="dxa" w:w="100"/>
              <w:left w:type="dxa" w:w="140"/>
              <w:bottom w:type="dxa" w:w="100"/>
              <w:right w:type="dxa" w:w="140"/>
            </w:tcMar>
          </w:tcPr>
          <w:p>
            <w:pPr>
              <w:spacing w:after="0"/>
            </w:pPr>
            <w:r>
              <w:rPr>
                <w:b w:val="false"/>
                <w:bCs w:val="false"/>
                <w:sz w:val="20"/>
                <w:szCs w:val="20"/>
              </w:rPr>
              <w:t xml:space="preserve">SFDF_v1_LOCKED.docx</w:t>
            </w:r>
          </w:p>
        </w:tc>
      </w:tr>
      <w:tr>
        <w:tc>
          <w:tcPr>
            <w:tcW w:type="dxa" w:w="110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spacing w:after="0"/>
            </w:pPr>
            <w:r>
              <w:rPr>
                <w:b w:val="false"/>
                <w:bCs w:val="false"/>
                <w:sz w:val="20"/>
                <w:szCs w:val="20"/>
              </w:rPr>
              <w:t xml:space="preserve">Day 7</w:t>
            </w:r>
          </w:p>
        </w:tc>
        <w:tc>
          <w:tcPr>
            <w:tcW w:type="dxa" w:w="556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spacing w:after="0"/>
            </w:pPr>
            <w:r>
              <w:rPr>
                <w:b w:val="false"/>
                <w:bCs w:val="false"/>
                <w:sz w:val="20"/>
                <w:szCs w:val="20"/>
              </w:rPr>
              <w:t xml:space="preserve">Build target list: pull 15–20 names from the SIM speaker list (Section 8), prioritise 8–10, draft outreach messages.</w:t>
            </w:r>
          </w:p>
        </w:tc>
        <w:tc>
          <w:tcPr>
            <w:tcW w:type="dxa" w:w="270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spacing w:after="0"/>
            </w:pPr>
            <w:r>
              <w:rPr>
                <w:b w:val="false"/>
                <w:bCs w:val="false"/>
                <w:sz w:val="20"/>
                <w:szCs w:val="20"/>
              </w:rPr>
              <w:t xml:space="preserve">SIM_target_list.xlsx</w:t>
            </w:r>
          </w:p>
        </w:tc>
      </w:tr>
      <w:tr>
        <w:tc>
          <w:tcPr>
            <w:tcW w:type="dxa" w:w="1100"/>
            <w:tcBorders>
              <w:top w:val="single" w:color="B0B0B0" w:sz="4"/>
              <w:left w:val="single" w:color="B0B0B0" w:sz="4"/>
              <w:bottom w:val="single" w:color="B0B0B0" w:sz="4"/>
              <w:right w:val="single" w:color="B0B0B0" w:sz="4"/>
            </w:tcBorders>
            <w:shd w:fill="F2F2F2" w:val="clear"/>
            <w:tcMar>
              <w:top w:type="dxa" w:w="100"/>
              <w:left w:type="dxa" w:w="140"/>
              <w:bottom w:type="dxa" w:w="100"/>
              <w:right w:type="dxa" w:w="140"/>
            </w:tcMar>
          </w:tcPr>
          <w:p>
            <w:pPr>
              <w:spacing w:after="0"/>
            </w:pPr>
            <w:r>
              <w:rPr>
                <w:b w:val="false"/>
                <w:bCs w:val="false"/>
                <w:sz w:val="20"/>
                <w:szCs w:val="20"/>
              </w:rPr>
              <w:t xml:space="preserve">Day 8–9</w:t>
            </w:r>
          </w:p>
        </w:tc>
        <w:tc>
          <w:tcPr>
            <w:tcW w:type="dxa" w:w="5560"/>
            <w:tcBorders>
              <w:top w:val="single" w:color="B0B0B0" w:sz="4"/>
              <w:left w:val="single" w:color="B0B0B0" w:sz="4"/>
              <w:bottom w:val="single" w:color="B0B0B0" w:sz="4"/>
              <w:right w:val="single" w:color="B0B0B0" w:sz="4"/>
            </w:tcBorders>
            <w:shd w:fill="F2F2F2" w:val="clear"/>
            <w:tcMar>
              <w:top w:type="dxa" w:w="100"/>
              <w:left w:type="dxa" w:w="140"/>
              <w:bottom w:type="dxa" w:w="100"/>
              <w:right w:type="dxa" w:w="140"/>
            </w:tcMar>
          </w:tcPr>
          <w:p>
            <w:pPr>
              <w:spacing w:after="0"/>
            </w:pPr>
            <w:r>
              <w:rPr>
                <w:b w:val="false"/>
                <w:bCs w:val="false"/>
                <w:sz w:val="20"/>
                <w:szCs w:val="20"/>
              </w:rPr>
              <w:t xml:space="preserve">Send LinkedIn pre-conference messages (template in Section 9). Aim for 3–4 confirmed slots before arriving.</w:t>
            </w:r>
          </w:p>
        </w:tc>
        <w:tc>
          <w:tcPr>
            <w:tcW w:type="dxa" w:w="2700"/>
            <w:tcBorders>
              <w:top w:val="single" w:color="B0B0B0" w:sz="4"/>
              <w:left w:val="single" w:color="B0B0B0" w:sz="4"/>
              <w:bottom w:val="single" w:color="B0B0B0" w:sz="4"/>
              <w:right w:val="single" w:color="B0B0B0" w:sz="4"/>
            </w:tcBorders>
            <w:shd w:fill="F2F2F2" w:val="clear"/>
            <w:tcMar>
              <w:top w:type="dxa" w:w="100"/>
              <w:left w:type="dxa" w:w="140"/>
              <w:bottom w:type="dxa" w:w="100"/>
              <w:right w:type="dxa" w:w="140"/>
            </w:tcMar>
          </w:tcPr>
          <w:p>
            <w:pPr>
              <w:spacing w:after="0"/>
            </w:pPr>
            <w:r>
              <w:rPr>
                <w:b w:val="false"/>
                <w:bCs w:val="false"/>
                <w:sz w:val="20"/>
                <w:szCs w:val="20"/>
              </w:rPr>
              <w:t xml:space="preserve">Outreach log</w:t>
            </w:r>
          </w:p>
        </w:tc>
      </w:tr>
      <w:tr>
        <w:tc>
          <w:tcPr>
            <w:tcW w:type="dxa" w:w="110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spacing w:after="0"/>
            </w:pPr>
            <w:r>
              <w:rPr>
                <w:b w:val="false"/>
                <w:bCs w:val="false"/>
                <w:sz w:val="20"/>
                <w:szCs w:val="20"/>
              </w:rPr>
              <w:t xml:space="preserve">Day 10</w:t>
            </w:r>
          </w:p>
        </w:tc>
        <w:tc>
          <w:tcPr>
            <w:tcW w:type="dxa" w:w="556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spacing w:after="0"/>
            </w:pPr>
            <w:r>
              <w:rPr>
                <w:b w:val="false"/>
                <w:bCs w:val="false"/>
                <w:sz w:val="20"/>
                <w:szCs w:val="20"/>
              </w:rPr>
              <w:t xml:space="preserve">Print 15 copies of the Decision Brief template, validation pack, and a 1-page “about the research” leave-behind. Bring laptop with editable Excel scorer.</w:t>
            </w:r>
          </w:p>
        </w:tc>
        <w:tc>
          <w:tcPr>
            <w:tcW w:type="dxa" w:w="270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spacing w:after="0"/>
            </w:pPr>
            <w:r>
              <w:rPr>
                <w:b w:val="false"/>
                <w:bCs w:val="false"/>
                <w:sz w:val="20"/>
                <w:szCs w:val="20"/>
              </w:rPr>
              <w:t xml:space="preserve">Print pack</w:t>
            </w:r>
          </w:p>
        </w:tc>
      </w:tr>
    </w:tbl>
    <w:p>
      <w:pPr>
        <w:pStyle w:val="Heading1"/>
        <w:spacing w:after="200" w:before="360"/>
      </w:pPr>
      <w:r>
        <w:t xml:space="preserve">4. Phase 2 — SIM Day 1: Field Validation</w:t>
      </w:r>
    </w:p>
    <w:p>
      <w:pPr>
        <w:spacing w:after="120" w:line="300"/>
      </w:pPr>
      <w:r>
        <w:rPr>
          <w:b/>
          <w:bCs/>
        </w:rPr>
        <w:t xml:space="preserve">Goal: </w:t>
      </w:r>
      <w:r>
        <w:t xml:space="preserve">4–6 structured 15–20 minute sessions with founders and investors. Collect formative feedback to revise the artifact overnight.</w:t>
      </w:r>
    </w:p>
    <w:p>
      <w:pPr>
        <w:pStyle w:val="Heading2"/>
        <w:spacing w:after="160" w:before="280"/>
      </w:pPr>
      <w:r>
        <w:t xml:space="preserve">4.1 The session structure (15–20 minutes)</w:t>
      </w:r>
    </w:p>
    <w:p>
      <w:pPr>
        <w:pStyle w:val="ListParagraph"/>
        <w:numPr>
          <w:ilvl w:val="0"/>
          <w:numId w:val="3"/>
        </w:numPr>
        <w:spacing w:after="80" w:line="280"/>
      </w:pPr>
      <w:r>
        <w:rPr>
          <w:b/>
          <w:bCs/>
        </w:rPr>
        <w:t xml:space="preserve">Setup (2 min): </w:t>
      </w:r>
      <w:r>
        <w:t xml:space="preserve">“I’m a master’s student at U.Porto researching how early-stage founders choose between bootstrapping and equity. I’ve built a decision framework and I’d value 15 minutes of your reaction. May I record audio for transcription?”</w:t>
      </w:r>
    </w:p>
    <w:p>
      <w:pPr>
        <w:pStyle w:val="ListParagraph"/>
        <w:numPr>
          <w:ilvl w:val="0"/>
          <w:numId w:val="3"/>
        </w:numPr>
        <w:spacing w:after="80" w:line="280"/>
      </w:pPr>
      <w:r>
        <w:rPr>
          <w:b/>
          <w:bCs/>
        </w:rPr>
        <w:t xml:space="preserve">Walkthrough (5 min): </w:t>
      </w:r>
      <w:r>
        <w:t xml:space="preserve">Hand them the printed Decision Brief template + factor list. Walk them through one worked case (use a real Porto startup or a hypothetical from your SLR).</w:t>
      </w:r>
    </w:p>
    <w:p>
      <w:pPr>
        <w:pStyle w:val="ListParagraph"/>
        <w:numPr>
          <w:ilvl w:val="0"/>
          <w:numId w:val="3"/>
        </w:numPr>
        <w:spacing w:after="80" w:line="280"/>
      </w:pPr>
      <w:r>
        <w:rPr>
          <w:b/>
          <w:bCs/>
        </w:rPr>
        <w:t xml:space="preserve">Their case (5–7 min): </w:t>
      </w:r>
      <w:r>
        <w:t xml:space="preserve">Ask them to run their own situation (or one of their portfolio companies) through the framework, out loud. This is where the real data comes from — watch where they hesitate, push back, or add factors you missed.</w:t>
      </w:r>
    </w:p>
    <w:p>
      <w:pPr>
        <w:pStyle w:val="ListParagraph"/>
        <w:numPr>
          <w:ilvl w:val="0"/>
          <w:numId w:val="3"/>
        </w:numPr>
        <w:spacing w:after="80" w:line="280"/>
      </w:pPr>
      <w:r>
        <w:rPr>
          <w:b/>
          <w:bCs/>
        </w:rPr>
        <w:t xml:space="preserve">Structured feedback (3–5 min): </w:t>
      </w:r>
      <w:r>
        <w:t xml:space="preserve">4 quick questions on the feedback form. See Section 4.3.</w:t>
      </w:r>
    </w:p>
    <w:p>
      <w:pPr>
        <w:pStyle w:val="ListParagraph"/>
        <w:numPr>
          <w:ilvl w:val="0"/>
          <w:numId w:val="3"/>
        </w:numPr>
        <w:spacing w:after="80" w:line="280"/>
      </w:pPr>
      <w:r>
        <w:rPr>
          <w:b/>
          <w:bCs/>
        </w:rPr>
        <w:t xml:space="preserve">Close (1 min): </w:t>
      </w:r>
      <w:r>
        <w:t xml:space="preserve">“Would you be open to a 5-minute follow-up tomorrow if I revise based on today’s feedback?” Get email/LinkedIn.</w:t>
      </w:r>
    </w:p>
    <w:p>
      <w:pPr>
        <w:pStyle w:val="Heading2"/>
        <w:spacing w:after="160" w:before="280"/>
      </w:pPr>
      <w:r>
        <w:t xml:space="preserve">4.2 What to capture in each session</w:t>
      </w:r>
    </w:p>
    <w:p>
      <w:pPr>
        <w:pStyle w:val="ListParagraph"/>
        <w:numPr>
          <w:ilvl w:val="0"/>
          <w:numId w:val="2"/>
        </w:numPr>
        <w:spacing w:after="80" w:line="280"/>
      </w:pPr>
      <w:r>
        <w:t xml:space="preserve">Factors they would add, remove, or rename.</w:t>
      </w:r>
    </w:p>
    <w:p>
      <w:pPr>
        <w:pStyle w:val="ListParagraph"/>
        <w:numPr>
          <w:ilvl w:val="0"/>
          <w:numId w:val="2"/>
        </w:numPr>
        <w:spacing w:after="80" w:line="280"/>
      </w:pPr>
      <w:r>
        <w:t xml:space="preserve">Where the scoring felt wrong (factor weight too high/low).</w:t>
      </w:r>
    </w:p>
    <w:p>
      <w:pPr>
        <w:pStyle w:val="ListParagraph"/>
        <w:numPr>
          <w:ilvl w:val="0"/>
          <w:numId w:val="2"/>
        </w:numPr>
        <w:spacing w:after="80" w:line="280"/>
      </w:pPr>
      <w:r>
        <w:t xml:space="preserve">Their gut decision vs. the framework’s output — agreement or disagreement, and why.</w:t>
      </w:r>
    </w:p>
    <w:p>
      <w:pPr>
        <w:pStyle w:val="ListParagraph"/>
        <w:numPr>
          <w:ilvl w:val="0"/>
          <w:numId w:val="2"/>
        </w:numPr>
        <w:spacing w:after="80" w:line="280"/>
      </w:pPr>
      <w:r>
        <w:t xml:space="preserve">Their language for these concepts (this matters — your final SFDF should use practitioner vocabulary, not just academic vocabulary).</w:t>
      </w:r>
    </w:p>
    <w:p>
      <w:pPr>
        <w:pStyle w:val="ListParagraph"/>
        <w:numPr>
          <w:ilvl w:val="0"/>
          <w:numId w:val="2"/>
        </w:numPr>
        <w:spacing w:after="80" w:line="280"/>
      </w:pPr>
      <w:r>
        <w:t xml:space="preserve">One direct quote, verbatim, that you could use in your Assessment &amp; Discussion chapter.</w:t>
      </w:r>
    </w:p>
    <w:p>
      <w:pPr>
        <w:pStyle w:val="Heading2"/>
        <w:spacing w:after="160" w:before="280"/>
      </w:pPr>
      <w:r>
        <w:t xml:space="preserve">4.3 The feedback form (use the same form for every session)</w:t>
      </w:r>
    </w:p>
    <w:p>
      <w:pPr>
        <w:spacing w:after="120" w:line="300"/>
      </w:pPr>
      <w:r>
        <w:t xml:space="preserve">Keep this short. Practitioners at conferences will not fill out a 20-question survey.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6560"/>
        <w:gridCol w:w="2000"/>
      </w:tblGrid>
      <w:tr>
        <w:tc>
          <w:tcPr>
            <w:tcW w:type="dxa" w:w="800"/>
            <w:tcBorders>
              <w:top w:val="single" w:color="B0B0B0" w:sz="4"/>
              <w:left w:val="single" w:color="B0B0B0" w:sz="4"/>
              <w:bottom w:val="single" w:color="B0B0B0" w:sz="4"/>
              <w:right w:val="single" w:color="B0B0B0" w:sz="4"/>
            </w:tcBorders>
            <w:shd w:fill="1F4E79" w:val="clear"/>
            <w:tcMar>
              <w:top w:type="dxa" w:w="100"/>
              <w:left w:type="dxa" w:w="140"/>
              <w:bottom w:type="dxa" w:w="100"/>
              <w:right w:type="dxa" w:w="140"/>
            </w:tcMar>
          </w:tcPr>
          <w:p>
            <w:pPr>
              <w:spacing w:after="0"/>
            </w:pPr>
            <w:r>
              <w:rPr>
                <w:b/>
                <w:bCs/>
                <w:color w:val="FFFFFF"/>
                <w:sz w:val="20"/>
                <w:szCs w:val="20"/>
              </w:rPr>
              <w:t xml:space="preserve">#</w:t>
            </w:r>
          </w:p>
        </w:tc>
        <w:tc>
          <w:tcPr>
            <w:tcW w:type="dxa" w:w="6560"/>
            <w:tcBorders>
              <w:top w:val="single" w:color="B0B0B0" w:sz="4"/>
              <w:left w:val="single" w:color="B0B0B0" w:sz="4"/>
              <w:bottom w:val="single" w:color="B0B0B0" w:sz="4"/>
              <w:right w:val="single" w:color="B0B0B0" w:sz="4"/>
            </w:tcBorders>
            <w:shd w:fill="1F4E79" w:val="clear"/>
            <w:tcMar>
              <w:top w:type="dxa" w:w="100"/>
              <w:left w:type="dxa" w:w="140"/>
              <w:bottom w:type="dxa" w:w="100"/>
              <w:right w:type="dxa" w:w="140"/>
            </w:tcMar>
          </w:tcPr>
          <w:p>
            <w:pPr>
              <w:spacing w:after="0"/>
            </w:pPr>
            <w:r>
              <w:rPr>
                <w:b/>
                <w:bCs/>
                <w:color w:val="FFFFFF"/>
                <w:sz w:val="20"/>
                <w:szCs w:val="20"/>
              </w:rPr>
              <w:t xml:space="preserve">Question</w:t>
            </w:r>
          </w:p>
        </w:tc>
        <w:tc>
          <w:tcPr>
            <w:tcW w:type="dxa" w:w="2000"/>
            <w:tcBorders>
              <w:top w:val="single" w:color="B0B0B0" w:sz="4"/>
              <w:left w:val="single" w:color="B0B0B0" w:sz="4"/>
              <w:bottom w:val="single" w:color="B0B0B0" w:sz="4"/>
              <w:right w:val="single" w:color="B0B0B0" w:sz="4"/>
            </w:tcBorders>
            <w:shd w:fill="1F4E79" w:val="clear"/>
            <w:tcMar>
              <w:top w:type="dxa" w:w="100"/>
              <w:left w:type="dxa" w:w="140"/>
              <w:bottom w:type="dxa" w:w="100"/>
              <w:right w:type="dxa" w:w="140"/>
            </w:tcMar>
          </w:tcPr>
          <w:p>
            <w:pPr>
              <w:spacing w:after="0"/>
            </w:pPr>
            <w:r>
              <w:rPr>
                <w:b/>
                <w:bCs/>
                <w:color w:val="FFFFFF"/>
                <w:sz w:val="20"/>
                <w:szCs w:val="20"/>
              </w:rPr>
              <w:t xml:space="preserve">Format</w:t>
            </w:r>
          </w:p>
        </w:tc>
      </w:tr>
      <w:tr>
        <w:tc>
          <w:tcPr>
            <w:tcW w:type="dxa" w:w="80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spacing w:after="0"/>
            </w:pPr>
            <w:r>
              <w:rPr>
                <w:b w:val="false"/>
                <w:bCs w:val="false"/>
                <w:sz w:val="20"/>
                <w:szCs w:val="20"/>
              </w:rPr>
              <w:t xml:space="preserve">Q1</w:t>
            </w:r>
          </w:p>
        </w:tc>
        <w:tc>
          <w:tcPr>
            <w:tcW w:type="dxa" w:w="656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spacing w:after="0"/>
            </w:pPr>
            <w:r>
              <w:rPr>
                <w:b w:val="false"/>
                <w:bCs w:val="false"/>
                <w:sz w:val="20"/>
                <w:szCs w:val="20"/>
              </w:rPr>
              <w:t xml:space="preserve">On a scale of 1–7, how relevant are the four factor groups (Founder, Venture, Market, Strategic) to a real bootstrapping vs. equity decision?</w:t>
            </w:r>
          </w:p>
        </w:tc>
        <w:tc>
          <w:tcPr>
            <w:tcW w:type="dxa" w:w="200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spacing w:after="0"/>
            </w:pPr>
            <w:r>
              <w:rPr>
                <w:b w:val="false"/>
                <w:bCs w:val="false"/>
                <w:sz w:val="20"/>
                <w:szCs w:val="20"/>
              </w:rPr>
              <w:t xml:space="preserve">Likert 1–7</w:t>
            </w:r>
          </w:p>
        </w:tc>
      </w:tr>
      <w:tr>
        <w:tc>
          <w:tcPr>
            <w:tcW w:type="dxa" w:w="800"/>
            <w:tcBorders>
              <w:top w:val="single" w:color="B0B0B0" w:sz="4"/>
              <w:left w:val="single" w:color="B0B0B0" w:sz="4"/>
              <w:bottom w:val="single" w:color="B0B0B0" w:sz="4"/>
              <w:right w:val="single" w:color="B0B0B0" w:sz="4"/>
            </w:tcBorders>
            <w:shd w:fill="F2F2F2" w:val="clear"/>
            <w:tcMar>
              <w:top w:type="dxa" w:w="100"/>
              <w:left w:type="dxa" w:w="140"/>
              <w:bottom w:type="dxa" w:w="100"/>
              <w:right w:type="dxa" w:w="140"/>
            </w:tcMar>
          </w:tcPr>
          <w:p>
            <w:pPr>
              <w:spacing w:after="0"/>
            </w:pPr>
            <w:r>
              <w:rPr>
                <w:b w:val="false"/>
                <w:bCs w:val="false"/>
                <w:sz w:val="20"/>
                <w:szCs w:val="20"/>
              </w:rPr>
              <w:t xml:space="preserve">Q2</w:t>
            </w:r>
          </w:p>
        </w:tc>
        <w:tc>
          <w:tcPr>
            <w:tcW w:type="dxa" w:w="6560"/>
            <w:tcBorders>
              <w:top w:val="single" w:color="B0B0B0" w:sz="4"/>
              <w:left w:val="single" w:color="B0B0B0" w:sz="4"/>
              <w:bottom w:val="single" w:color="B0B0B0" w:sz="4"/>
              <w:right w:val="single" w:color="B0B0B0" w:sz="4"/>
            </w:tcBorders>
            <w:shd w:fill="F2F2F2" w:val="clear"/>
            <w:tcMar>
              <w:top w:type="dxa" w:w="100"/>
              <w:left w:type="dxa" w:w="140"/>
              <w:bottom w:type="dxa" w:w="100"/>
              <w:right w:type="dxa" w:w="140"/>
            </w:tcMar>
          </w:tcPr>
          <w:p>
            <w:pPr>
              <w:spacing w:after="0"/>
            </w:pPr>
            <w:r>
              <w:rPr>
                <w:b w:val="false"/>
                <w:bCs w:val="false"/>
                <w:sz w:val="20"/>
                <w:szCs w:val="20"/>
              </w:rPr>
              <w:t xml:space="preserve">Which factor would you add, remove, or rename? Why?</w:t>
            </w:r>
          </w:p>
        </w:tc>
        <w:tc>
          <w:tcPr>
            <w:tcW w:type="dxa" w:w="2000"/>
            <w:tcBorders>
              <w:top w:val="single" w:color="B0B0B0" w:sz="4"/>
              <w:left w:val="single" w:color="B0B0B0" w:sz="4"/>
              <w:bottom w:val="single" w:color="B0B0B0" w:sz="4"/>
              <w:right w:val="single" w:color="B0B0B0" w:sz="4"/>
            </w:tcBorders>
            <w:shd w:fill="F2F2F2" w:val="clear"/>
            <w:tcMar>
              <w:top w:type="dxa" w:w="100"/>
              <w:left w:type="dxa" w:w="140"/>
              <w:bottom w:type="dxa" w:w="100"/>
              <w:right w:type="dxa" w:w="140"/>
            </w:tcMar>
          </w:tcPr>
          <w:p>
            <w:pPr>
              <w:spacing w:after="0"/>
            </w:pPr>
            <w:r>
              <w:rPr>
                <w:b w:val="false"/>
                <w:bCs w:val="false"/>
                <w:sz w:val="20"/>
                <w:szCs w:val="20"/>
              </w:rPr>
              <w:t xml:space="preserve">Open</w:t>
            </w:r>
          </w:p>
        </w:tc>
      </w:tr>
      <w:tr>
        <w:tc>
          <w:tcPr>
            <w:tcW w:type="dxa" w:w="80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spacing w:after="0"/>
            </w:pPr>
            <w:r>
              <w:rPr>
                <w:b w:val="false"/>
                <w:bCs w:val="false"/>
                <w:sz w:val="20"/>
                <w:szCs w:val="20"/>
              </w:rPr>
              <w:t xml:space="preserve">Q3</w:t>
            </w:r>
          </w:p>
        </w:tc>
        <w:tc>
          <w:tcPr>
            <w:tcW w:type="dxa" w:w="656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spacing w:after="0"/>
            </w:pPr>
            <w:r>
              <w:rPr>
                <w:b w:val="false"/>
                <w:bCs w:val="false"/>
                <w:sz w:val="20"/>
                <w:szCs w:val="20"/>
              </w:rPr>
              <w:t xml:space="preserve">Run your own case (or a portfolio case) through the framework. Did the output zone match your intuition?</w:t>
            </w:r>
          </w:p>
        </w:tc>
        <w:tc>
          <w:tcPr>
            <w:tcW w:type="dxa" w:w="200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spacing w:after="0"/>
            </w:pPr>
            <w:r>
              <w:rPr>
                <w:b w:val="false"/>
                <w:bCs w:val="false"/>
                <w:sz w:val="20"/>
                <w:szCs w:val="20"/>
              </w:rPr>
              <w:t xml:space="preserve">Yes / Partly / No + why</w:t>
            </w:r>
          </w:p>
        </w:tc>
      </w:tr>
      <w:tr>
        <w:tc>
          <w:tcPr>
            <w:tcW w:type="dxa" w:w="800"/>
            <w:tcBorders>
              <w:top w:val="single" w:color="B0B0B0" w:sz="4"/>
              <w:left w:val="single" w:color="B0B0B0" w:sz="4"/>
              <w:bottom w:val="single" w:color="B0B0B0" w:sz="4"/>
              <w:right w:val="single" w:color="B0B0B0" w:sz="4"/>
            </w:tcBorders>
            <w:shd w:fill="F2F2F2" w:val="clear"/>
            <w:tcMar>
              <w:top w:type="dxa" w:w="100"/>
              <w:left w:type="dxa" w:w="140"/>
              <w:bottom w:type="dxa" w:w="100"/>
              <w:right w:type="dxa" w:w="140"/>
            </w:tcMar>
          </w:tcPr>
          <w:p>
            <w:pPr>
              <w:spacing w:after="0"/>
            </w:pPr>
            <w:r>
              <w:rPr>
                <w:b w:val="false"/>
                <w:bCs w:val="false"/>
                <w:sz w:val="20"/>
                <w:szCs w:val="20"/>
              </w:rPr>
              <w:t xml:space="preserve">Q4</w:t>
            </w:r>
          </w:p>
        </w:tc>
        <w:tc>
          <w:tcPr>
            <w:tcW w:type="dxa" w:w="6560"/>
            <w:tcBorders>
              <w:top w:val="single" w:color="B0B0B0" w:sz="4"/>
              <w:left w:val="single" w:color="B0B0B0" w:sz="4"/>
              <w:bottom w:val="single" w:color="B0B0B0" w:sz="4"/>
              <w:right w:val="single" w:color="B0B0B0" w:sz="4"/>
            </w:tcBorders>
            <w:shd w:fill="F2F2F2" w:val="clear"/>
            <w:tcMar>
              <w:top w:type="dxa" w:w="100"/>
              <w:left w:type="dxa" w:w="140"/>
              <w:bottom w:type="dxa" w:w="100"/>
              <w:right w:type="dxa" w:w="140"/>
            </w:tcMar>
          </w:tcPr>
          <w:p>
            <w:pPr>
              <w:spacing w:after="0"/>
            </w:pPr>
            <w:r>
              <w:rPr>
                <w:b w:val="false"/>
                <w:bCs w:val="false"/>
                <w:sz w:val="20"/>
                <w:szCs w:val="20"/>
              </w:rPr>
              <w:t xml:space="preserve">On a scale of 1–7, how likely would you actually use a tool like this with a founder you advise?</w:t>
            </w:r>
          </w:p>
        </w:tc>
        <w:tc>
          <w:tcPr>
            <w:tcW w:type="dxa" w:w="2000"/>
            <w:tcBorders>
              <w:top w:val="single" w:color="B0B0B0" w:sz="4"/>
              <w:left w:val="single" w:color="B0B0B0" w:sz="4"/>
              <w:bottom w:val="single" w:color="B0B0B0" w:sz="4"/>
              <w:right w:val="single" w:color="B0B0B0" w:sz="4"/>
            </w:tcBorders>
            <w:shd w:fill="F2F2F2" w:val="clear"/>
            <w:tcMar>
              <w:top w:type="dxa" w:w="100"/>
              <w:left w:type="dxa" w:w="140"/>
              <w:bottom w:type="dxa" w:w="100"/>
              <w:right w:type="dxa" w:w="140"/>
            </w:tcMar>
          </w:tcPr>
          <w:p>
            <w:pPr>
              <w:spacing w:after="0"/>
            </w:pPr>
            <w:r>
              <w:rPr>
                <w:b w:val="false"/>
                <w:bCs w:val="false"/>
                <w:sz w:val="20"/>
                <w:szCs w:val="20"/>
              </w:rPr>
              <w:t xml:space="preserve">Likert 1–7</w:t>
            </w:r>
          </w:p>
        </w:tc>
      </w:tr>
      <w:tr>
        <w:tc>
          <w:tcPr>
            <w:tcW w:type="dxa" w:w="80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spacing w:after="0"/>
            </w:pPr>
            <w:r>
              <w:rPr>
                <w:b w:val="false"/>
                <w:bCs w:val="false"/>
                <w:sz w:val="20"/>
                <w:szCs w:val="20"/>
              </w:rPr>
              <w:t xml:space="preserve">Q5</w:t>
            </w:r>
          </w:p>
        </w:tc>
        <w:tc>
          <w:tcPr>
            <w:tcW w:type="dxa" w:w="656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spacing w:after="0"/>
            </w:pPr>
            <w:r>
              <w:rPr>
                <w:b w:val="false"/>
                <w:bCs w:val="false"/>
                <w:sz w:val="20"/>
                <w:szCs w:val="20"/>
              </w:rPr>
              <w:t xml:space="preserve">Anything else?</w:t>
            </w:r>
          </w:p>
        </w:tc>
        <w:tc>
          <w:tcPr>
            <w:tcW w:type="dxa" w:w="200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spacing w:after="0"/>
            </w:pPr>
            <w:r>
              <w:rPr>
                <w:b w:val="false"/>
                <w:bCs w:val="false"/>
                <w:sz w:val="20"/>
                <w:szCs w:val="20"/>
              </w:rPr>
              <w:t xml:space="preserve">Open</w:t>
            </w:r>
          </w:p>
        </w:tc>
      </w:tr>
    </w:tbl>
    <w:p>
      <w:pPr>
        <w:pStyle w:val="Heading2"/>
        <w:spacing w:after="160" w:before="280"/>
      </w:pPr>
      <w:r>
        <w:t xml:space="preserve">4.4 Logistics for Day 1</w:t>
      </w:r>
    </w:p>
    <w:p>
      <w:pPr>
        <w:pStyle w:val="ListParagraph"/>
        <w:numPr>
          <w:ilvl w:val="0"/>
          <w:numId w:val="2"/>
        </w:numPr>
        <w:spacing w:after="80" w:line="280"/>
      </w:pPr>
      <w:r>
        <w:t xml:space="preserve">Arrive early. Networking sessions and coffee breaks are where you book slots.</w:t>
      </w:r>
    </w:p>
    <w:p>
      <w:pPr>
        <w:pStyle w:val="ListParagraph"/>
        <w:numPr>
          <w:ilvl w:val="0"/>
          <w:numId w:val="2"/>
        </w:numPr>
        <w:spacing w:after="80" w:line="280"/>
      </w:pPr>
      <w:r>
        <w:t xml:space="preserve">Approach during transitions, not during talks.</w:t>
      </w:r>
    </w:p>
    <w:p>
      <w:pPr>
        <w:pStyle w:val="ListParagraph"/>
        <w:numPr>
          <w:ilvl w:val="0"/>
          <w:numId w:val="2"/>
        </w:numPr>
        <w:spacing w:after="80" w:line="280"/>
      </w:pPr>
      <w:r>
        <w:t xml:space="preserve">Have a 30-second pitch ready: “I’m a U.Porto master’s student validating a decision framework on bootstrapping vs. equity. Could I get 15 minutes of your reaction sometime today or tomorrow?”</w:t>
      </w:r>
    </w:p>
    <w:p>
      <w:pPr>
        <w:pStyle w:val="ListParagraph"/>
        <w:numPr>
          <w:ilvl w:val="0"/>
          <w:numId w:val="2"/>
        </w:numPr>
        <w:spacing w:after="80" w:line="280"/>
      </w:pPr>
      <w:r>
        <w:t xml:space="preserve">Use a paper notebook for raw notes; don’t try to type during the session.</w:t>
      </w:r>
    </w:p>
    <w:p>
      <w:pPr>
        <w:pStyle w:val="ListParagraph"/>
        <w:numPr>
          <w:ilvl w:val="0"/>
          <w:numId w:val="2"/>
        </w:numPr>
        <w:spacing w:after="80" w:line="280"/>
      </w:pPr>
      <w:r>
        <w:t xml:space="preserve">Immediately after each session, spend 5 minutes typing up notes while it’s fresh. Treat this as non-negotiable.</w:t>
      </w:r>
    </w:p>
    <w:p>
      <w:pPr>
        <w:pStyle w:val="Heading1"/>
        <w:spacing w:after="200" w:before="360"/>
      </w:pPr>
      <w:r>
        <w:t xml:space="preserve">5. Phase 3 — Overnight Iteration</w:t>
      </w:r>
    </w:p>
    <w:p>
      <w:pPr>
        <w:spacing w:after="120" w:line="300"/>
      </w:pPr>
      <w:r>
        <w:rPr>
          <w:b/>
          <w:bCs/>
        </w:rPr>
        <w:t xml:space="preserve">Time required: </w:t>
      </w:r>
      <w:r>
        <w:t xml:space="preserve">3–4 hours on the evening of Day 1.</w:t>
      </w:r>
    </w:p>
    <w:p>
      <w:pPr>
        <w:pStyle w:val="Heading2"/>
        <w:spacing w:after="160" w:before="280"/>
      </w:pPr>
      <w:r>
        <w:t xml:space="preserve">5.1 The synthesis process</w:t>
      </w:r>
    </w:p>
    <w:p>
      <w:pPr>
        <w:pStyle w:val="ListParagraph"/>
        <w:numPr>
          <w:ilvl w:val="0"/>
          <w:numId w:val="3"/>
        </w:numPr>
        <w:spacing w:after="80" w:line="280"/>
      </w:pPr>
      <w:r>
        <w:rPr>
          <w:b/>
          <w:bCs/>
        </w:rPr>
        <w:t xml:space="preserve">Tabulate (45 min): </w:t>
      </w:r>
      <w:r>
        <w:t xml:space="preserve">Put all 4–6 sessions into a single matrix. Rows = factors and design choices. Columns = each respondent’s reaction. Look for patterns — anything mentioned by 3+ respondents is a hard signal.</w:t>
      </w:r>
    </w:p>
    <w:p>
      <w:pPr>
        <w:pStyle w:val="ListParagraph"/>
        <w:numPr>
          <w:ilvl w:val="0"/>
          <w:numId w:val="3"/>
        </w:numPr>
        <w:spacing w:after="80" w:line="280"/>
      </w:pPr>
      <w:r>
        <w:rPr>
          <w:b/>
          <w:bCs/>
        </w:rPr>
        <w:t xml:space="preserve">Decide what changes (60 min): </w:t>
      </w:r>
      <w:r>
        <w:t xml:space="preserve">Categorise feedback into: (a) immediate changes for v2, (b) acknowledged but out of scope, (c) needs more evidence. Be ruthless — you cannot incorporate everything.</w:t>
      </w:r>
    </w:p>
    <w:p>
      <w:pPr>
        <w:pStyle w:val="ListParagraph"/>
        <w:numPr>
          <w:ilvl w:val="0"/>
          <w:numId w:val="3"/>
        </w:numPr>
        <w:spacing w:after="80" w:line="280"/>
      </w:pPr>
      <w:r>
        <w:rPr>
          <w:b/>
          <w:bCs/>
        </w:rPr>
        <w:t xml:space="preserve">Update the artifact (90 min): </w:t>
      </w:r>
      <w:r>
        <w:t xml:space="preserve">Revise the factor list, scoring weights, decision logic, and brief template. Keep a clean changelog so you can show your supervisor and write up the revisions in your Assessment chapter.</w:t>
      </w:r>
    </w:p>
    <w:p>
      <w:pPr>
        <w:pStyle w:val="ListParagraph"/>
        <w:numPr>
          <w:ilvl w:val="0"/>
          <w:numId w:val="3"/>
        </w:numPr>
        <w:spacing w:after="80" w:line="280"/>
      </w:pPr>
      <w:r>
        <w:rPr>
          <w:b/>
          <w:bCs/>
        </w:rPr>
        <w:t xml:space="preserve">Reprint (30 min): </w:t>
      </w:r>
      <w:r>
        <w:t xml:space="preserve">Print the revised one-page brief and a short “what changed since yesterday” summary to bring tomorrow.</w:t>
      </w:r>
    </w:p>
    <w:p>
      <w:pPr>
        <w:pStyle w:val="Heading2"/>
        <w:spacing w:after="160" w:before="280"/>
      </w:pPr>
      <w:r>
        <w:t xml:space="preserve">5.2 What goes in the changelog</w:t>
      </w:r>
    </w:p>
    <w:p>
      <w:pPr>
        <w:spacing w:after="120" w:line="300"/>
      </w:pPr>
      <w:r>
        <w:t xml:space="preserve">This changelog becomes evidence in your Assessment &amp; Discussion chapter. Every entry should look like:</w:t>
      </w:r>
    </w:p>
    <w:p>
      <w:pPr>
        <w:spacing w:after="120" w:line="300"/>
      </w:pPr>
      <w:r>
        <w:rPr>
          <w:i/>
          <w:iCs/>
        </w:rPr>
        <w:t xml:space="preserve">“Removed factor ‘team size’ (Founder dimension). Three respondents — including [Speaker A, role] and [Speaker B, role] — said it conflated team capability with team count. Replaced with ‘team domain experience’ (cited Kaplan &amp; Strömberg, 2003).”</w:t>
      </w:r>
    </w:p>
    <w:p>
      <w:pPr>
        <w:spacing w:after="120" w:line="300"/>
      </w:pPr>
      <w:r>
        <w:t xml:space="preserve">This is exactly the kind of evidence that turns a methodology chapter from “I built something” into “I built something, tested it, and have documented evidence of how practitioner feedback shaped the final artifact.”</w:t>
      </w:r>
    </w:p>
    <w:p>
      <w:pPr>
        <w:pStyle w:val="Heading1"/>
        <w:spacing w:after="200" w:before="360"/>
      </w:pPr>
      <w:r>
        <w:t xml:space="preserve">6. Phase 4 — SIM Day 2: Confirmation Pass</w:t>
      </w:r>
    </w:p>
    <w:p>
      <w:pPr>
        <w:spacing w:after="120" w:line="300"/>
      </w:pPr>
      <w:r>
        <w:rPr>
          <w:b/>
          <w:bCs/>
        </w:rPr>
        <w:t xml:space="preserve">Goal: </w:t>
      </w:r>
      <w:r>
        <w:t xml:space="preserve">Re-validate the revised SFDF v2. Two parallel tracks.</w:t>
      </w:r>
    </w:p>
    <w:p>
      <w:pPr>
        <w:pStyle w:val="Heading2"/>
        <w:spacing w:after="160" w:before="280"/>
      </w:pPr>
      <w:r>
        <w:t xml:space="preserve">6.1 Track A — Return visits (priority)</w:t>
      </w:r>
    </w:p>
    <w:p>
      <w:pPr>
        <w:spacing w:after="120" w:line="300"/>
      </w:pPr>
      <w:r>
        <w:t xml:space="preserve">Reach out to Day 1 respondents who agreed to a 5-minute follow-up. Show them what changed based on their feedback. This does two things: it generates summative evidence (“is the revised version actually better?”), and it builds genuine relationships with practitioners who might support your work post-defense.</w:t>
      </w:r>
    </w:p>
    <w:p>
      <w:pPr>
        <w:spacing w:after="120" w:line="300"/>
      </w:pPr>
      <w:r>
        <w:rPr>
          <w:b/>
          <w:bCs/>
        </w:rPr>
        <w:t xml:space="preserve">Script: </w:t>
      </w:r>
      <w:r>
        <w:t xml:space="preserve">“Yesterday you flagged X. Here’s how I revised it. Does v2 hold up?”</w:t>
      </w:r>
    </w:p>
    <w:p>
      <w:pPr>
        <w:pStyle w:val="Heading2"/>
        <w:spacing w:after="160" w:before="280"/>
      </w:pPr>
      <w:r>
        <w:t xml:space="preserve">6.2 Track B — Fresh respondents (3–4 new sessions)</w:t>
      </w:r>
    </w:p>
    <w:p>
      <w:pPr>
        <w:spacing w:after="120" w:line="300"/>
      </w:pPr>
      <w:r>
        <w:t xml:space="preserve">Same protocol as Day 1, but with one critical change: you are now testing whether SFDF v2 holds up on first encounter, not just whether v1 needed fixing. Use the same feedback form so the data is comparable.</w:t>
      </w:r>
    </w:p>
    <w:p>
      <w:pPr>
        <w:pStyle w:val="Heading2"/>
        <w:spacing w:after="160" w:before="280"/>
      </w:pPr>
      <w:r>
        <w:t xml:space="preserve">6.3 Aim for diversity in the panel</w:t>
      </w:r>
    </w:p>
    <w:p>
      <w:pPr>
        <w:spacing w:after="120" w:line="300"/>
      </w:pPr>
      <w:r>
        <w:t xml:space="preserve">By end of Day 2, your combined panel of 7–10 respondents should ideally cover:</w:t>
      </w:r>
    </w:p>
    <w:p>
      <w:pPr>
        <w:pStyle w:val="ListParagraph"/>
        <w:numPr>
          <w:ilvl w:val="0"/>
          <w:numId w:val="2"/>
        </w:numPr>
        <w:spacing w:after="80" w:line="280"/>
      </w:pPr>
      <w:r>
        <w:t xml:space="preserve">At least 2 founders who bootstrapped (or are visibly bootstrapping).</w:t>
      </w:r>
    </w:p>
    <w:p>
      <w:pPr>
        <w:pStyle w:val="ListParagraph"/>
        <w:numPr>
          <w:ilvl w:val="0"/>
          <w:numId w:val="2"/>
        </w:numPr>
        <w:spacing w:after="80" w:line="280"/>
      </w:pPr>
      <w:r>
        <w:t xml:space="preserve">At least 2 founders who raised equity at seed or Series A.</w:t>
      </w:r>
    </w:p>
    <w:p>
      <w:pPr>
        <w:pStyle w:val="ListParagraph"/>
        <w:numPr>
          <w:ilvl w:val="0"/>
          <w:numId w:val="2"/>
        </w:numPr>
        <w:spacing w:after="80" w:line="280"/>
      </w:pPr>
      <w:r>
        <w:t xml:space="preserve">At least 2 investors (VC partner / angel).</w:t>
      </w:r>
    </w:p>
    <w:p>
      <w:pPr>
        <w:pStyle w:val="ListParagraph"/>
        <w:numPr>
          <w:ilvl w:val="0"/>
          <w:numId w:val="2"/>
        </w:numPr>
        <w:spacing w:after="80" w:line="280"/>
      </w:pPr>
      <w:r>
        <w:t xml:space="preserve">At least 1 ecosystem builder (UPTEC, Startup Portugal, accelerator).</w:t>
      </w:r>
    </w:p>
    <w:p>
      <w:pPr>
        <w:spacing w:after="120" w:line="300"/>
      </w:pPr>
      <w:r>
        <w:t xml:space="preserve">This diversity is what lets you write “the panel covered both sides of the financing decision” in your Assessment chapter — which is what your supervisor will look for.</w:t>
      </w:r>
    </w:p>
    <w:p>
      <w:pPr>
        <w:pStyle w:val="Heading1"/>
        <w:spacing w:after="200" w:before="360"/>
      </w:pPr>
      <w:r>
        <w:t xml:space="preserve">7. Phase 5 — Post-Conference Write-up</w:t>
      </w:r>
    </w:p>
    <w:p>
      <w:pPr>
        <w:spacing w:after="120" w:line="300"/>
      </w:pPr>
      <w:r>
        <w:rPr>
          <w:b/>
          <w:bCs/>
        </w:rPr>
        <w:t xml:space="preserve">Time required: </w:t>
      </w:r>
      <w:r>
        <w:t xml:space="preserve">5–7 days after SIM. This is where the validation evidence becomes thesis content.</w:t>
      </w:r>
    </w:p>
    <w:p>
      <w:pPr>
        <w:pStyle w:val="Heading2"/>
        <w:spacing w:after="160" w:before="280"/>
      </w:pPr>
      <w:r>
        <w:t xml:space="preserve">7.1 Methodology chapter additions</w:t>
      </w:r>
    </w:p>
    <w:p>
      <w:pPr>
        <w:pStyle w:val="ListParagraph"/>
        <w:numPr>
          <w:ilvl w:val="0"/>
          <w:numId w:val="2"/>
        </w:numPr>
        <w:spacing w:after="80" w:line="280"/>
      </w:pPr>
      <w:r>
        <w:t xml:space="preserve">Sub-section: “Evaluation strategy” — present FEDS, justify Naturalistic + Formative→Summative, cite Venable et al. (2016).</w:t>
      </w:r>
    </w:p>
    <w:p>
      <w:pPr>
        <w:pStyle w:val="ListParagraph"/>
        <w:numPr>
          <w:ilvl w:val="0"/>
          <w:numId w:val="2"/>
        </w:numPr>
        <w:spacing w:after="80" w:line="280"/>
      </w:pPr>
      <w:r>
        <w:t xml:space="preserve">Sub-section: “Panel composition and recruitment” — describe the SIM context, recruitment via the conference, panel diversity (anonymise if needed).</w:t>
      </w:r>
    </w:p>
    <w:p>
      <w:pPr>
        <w:pStyle w:val="ListParagraph"/>
        <w:numPr>
          <w:ilvl w:val="0"/>
          <w:numId w:val="2"/>
        </w:numPr>
        <w:spacing w:after="80" w:line="280"/>
      </w:pPr>
      <w:r>
        <w:t xml:space="preserve">Sub-section: “Validation protocol” — the 5-step session structure, the feedback form (include in Annex), session duration.</w:t>
      </w:r>
    </w:p>
    <w:p>
      <w:pPr>
        <w:pStyle w:val="ListParagraph"/>
        <w:numPr>
          <w:ilvl w:val="0"/>
          <w:numId w:val="2"/>
        </w:numPr>
        <w:spacing w:after="80" w:line="280"/>
      </w:pPr>
      <w:r>
        <w:t xml:space="preserve">Sub-section: “Limitations” — small panel size, single-conference setting, social-desirability bias in face-to-face validation.</w:t>
      </w:r>
    </w:p>
    <w:p>
      <w:pPr>
        <w:pStyle w:val="Heading2"/>
        <w:spacing w:after="160" w:before="280"/>
      </w:pPr>
      <w:r>
        <w:t xml:space="preserve">7.2 Assessment &amp; Discussion chapter additions</w:t>
      </w:r>
    </w:p>
    <w:p>
      <w:pPr>
        <w:pStyle w:val="ListParagraph"/>
        <w:numPr>
          <w:ilvl w:val="0"/>
          <w:numId w:val="2"/>
        </w:numPr>
        <w:spacing w:after="80" w:line="280"/>
      </w:pPr>
      <w:r>
        <w:t xml:space="preserve">Quantitative summary: Likert means and ranges across both days for Q1 and Q4.</w:t>
      </w:r>
    </w:p>
    <w:p>
      <w:pPr>
        <w:pStyle w:val="ListParagraph"/>
        <w:numPr>
          <w:ilvl w:val="0"/>
          <w:numId w:val="2"/>
        </w:numPr>
        <w:spacing w:after="80" w:line="280"/>
      </w:pPr>
      <w:r>
        <w:t xml:space="preserve">Qualitative themes: 4–6 themes that emerged across sessions (group similar feedback).</w:t>
      </w:r>
    </w:p>
    <w:p>
      <w:pPr>
        <w:pStyle w:val="ListParagraph"/>
        <w:numPr>
          <w:ilvl w:val="0"/>
          <w:numId w:val="2"/>
        </w:numPr>
        <w:spacing w:after="80" w:line="280"/>
      </w:pPr>
      <w:r>
        <w:t xml:space="preserve">The changelog (from Section 5.2) becomes a table titled “SFDF v1 → v2: changes driven by practitioner feedback.”</w:t>
      </w:r>
    </w:p>
    <w:p>
      <w:pPr>
        <w:pStyle w:val="ListParagraph"/>
        <w:numPr>
          <w:ilvl w:val="0"/>
          <w:numId w:val="2"/>
        </w:numPr>
        <w:spacing w:after="80" w:line="280"/>
      </w:pPr>
      <w:r>
        <w:t xml:space="preserve">Day 2 confirmation: did Track A respondents endorse the revisions? Did Track B respondents react more positively to v2 on first encounter? Be honest about both.</w:t>
      </w:r>
    </w:p>
    <w:p>
      <w:pPr>
        <w:pStyle w:val="ListParagraph"/>
        <w:numPr>
          <w:ilvl w:val="0"/>
          <w:numId w:val="2"/>
        </w:numPr>
        <w:spacing w:after="80" w:line="280"/>
      </w:pPr>
      <w:r>
        <w:t xml:space="preserve">Practitioner quotes (anonymised): use 4–6 short verbatim quotes to illustrate themes. Get consent at the session — a checkbox on the feedback form is enough.</w:t>
      </w:r>
    </w:p>
    <w:p>
      <w:r>
        <w:br w:type="page"/>
      </w:r>
    </w:p>
    <w:p>
      <w:pPr>
        <w:pStyle w:val="Heading1"/>
        <w:spacing w:after="200" w:before="360"/>
      </w:pPr>
      <w:r>
        <w:t xml:space="preserve">8. SIM Speaker Target List</w:t>
      </w:r>
    </w:p>
    <w:p>
      <w:pPr>
        <w:spacing w:after="120" w:line="300"/>
      </w:pPr>
      <w:r>
        <w:t xml:space="preserve">The SIM 2026 speaker list contains an unusually strong match for your research. Below is a prioritised target list. Outreach phrasing differs slightly between founders and investors — see Section 9.</w:t>
      </w:r>
    </w:p>
    <w:p>
      <w:pPr>
        <w:pStyle w:val="Heading2"/>
        <w:spacing w:after="160" w:before="280"/>
      </w:pPr>
      <w:r>
        <w:t xml:space="preserve">8.1 Tier 1 — Highest priority (founder-side)</w:t>
      </w:r>
    </w:p>
    <w:p>
      <w:pPr>
        <w:spacing w:after="120" w:line="300"/>
      </w:pPr>
      <w:r>
        <w:t xml:space="preserve">Founders who lived the bootstrap-vs-equity decision, often pivoting between modes. These are the most valuable for SFDF validation because they will react instinctively to your factors.</w:t>
      </w:r>
    </w:p>
    <w:p>
      <w:pPr>
        <w:pStyle w:val="ListParagraph"/>
        <w:numPr>
          <w:ilvl w:val="0"/>
          <w:numId w:val="2"/>
        </w:numPr>
        <w:spacing w:after="80" w:line="280"/>
      </w:pPr>
      <w:r>
        <w:rPr>
          <w:b/>
          <w:bCs/>
        </w:rPr>
        <w:t xml:space="preserve">Uri Levine </w:t>
      </w:r>
      <w:r>
        <w:t xml:space="preserve">— Founder of Waze. Author of “Fall in Love With the Problem Not the Solution.” Strong views on early-stage decision-making. High-value but high-demand; aim for 5 minutes, not 15.</w:t>
      </w:r>
    </w:p>
    <w:p>
      <w:pPr>
        <w:pStyle w:val="ListParagraph"/>
        <w:numPr>
          <w:ilvl w:val="0"/>
          <w:numId w:val="2"/>
        </w:numPr>
        <w:spacing w:after="80" w:line="280"/>
      </w:pPr>
      <w:r>
        <w:rPr>
          <w:b/>
          <w:bCs/>
        </w:rPr>
        <w:t xml:space="preserve">Sacha Michaud </w:t>
      </w:r>
      <w:r>
        <w:t xml:space="preserve">— Co-founder of Glovo. Lived the equity-heavy hyper-growth path. Valuable counter-perspective.</w:t>
      </w:r>
    </w:p>
    <w:p>
      <w:pPr>
        <w:pStyle w:val="ListParagraph"/>
        <w:numPr>
          <w:ilvl w:val="0"/>
          <w:numId w:val="2"/>
        </w:numPr>
        <w:spacing w:after="80" w:line="280"/>
      </w:pPr>
      <w:r>
        <w:rPr>
          <w:b/>
          <w:bCs/>
        </w:rPr>
        <w:t xml:space="preserve">Paulo Rosado </w:t>
      </w:r>
      <w:r>
        <w:t xml:space="preserve">— Chairman of OutSystems. Portuguese unicorn founder. Will have direct opinions on factor weights.</w:t>
      </w:r>
    </w:p>
    <w:p>
      <w:pPr>
        <w:pStyle w:val="ListParagraph"/>
        <w:numPr>
          <w:ilvl w:val="0"/>
          <w:numId w:val="2"/>
        </w:numPr>
        <w:spacing w:after="80" w:line="280"/>
      </w:pPr>
      <w:r>
        <w:rPr>
          <w:b/>
          <w:bCs/>
        </w:rPr>
        <w:t xml:space="preserve">André Eiras </w:t>
      </w:r>
      <w:r>
        <w:t xml:space="preserve">— Founding team and GM of International, SWORD Health (Porto unicorn). Local, accessible, recent journey.</w:t>
      </w:r>
    </w:p>
    <w:p>
      <w:pPr>
        <w:pStyle w:val="ListParagraph"/>
        <w:numPr>
          <w:ilvl w:val="0"/>
          <w:numId w:val="2"/>
        </w:numPr>
        <w:spacing w:after="80" w:line="280"/>
      </w:pPr>
      <w:r>
        <w:rPr>
          <w:b/>
          <w:bCs/>
        </w:rPr>
        <w:t xml:space="preserve">Ricardo Mendes </w:t>
      </w:r>
      <w:r>
        <w:t xml:space="preserve">— CEO &amp; Co-Founder of TEKEVER. Portuguese deep-tech, capital-intensive case — valuable for the “capital intensity” factor.</w:t>
      </w:r>
    </w:p>
    <w:p>
      <w:pPr>
        <w:pStyle w:val="ListParagraph"/>
        <w:numPr>
          <w:ilvl w:val="0"/>
          <w:numId w:val="2"/>
        </w:numPr>
        <w:spacing w:after="80" w:line="280"/>
      </w:pPr>
      <w:r>
        <w:rPr>
          <w:b/>
          <w:bCs/>
        </w:rPr>
        <w:t xml:space="preserve">Marcelo Lebre </w:t>
      </w:r>
      <w:r>
        <w:t xml:space="preserve">— President and Co-Founder of Remote. Bootstrapped origins, then large equity rounds. Perfect SFDF case study.</w:t>
      </w:r>
    </w:p>
    <w:p>
      <w:pPr>
        <w:pStyle w:val="ListParagraph"/>
        <w:numPr>
          <w:ilvl w:val="0"/>
          <w:numId w:val="2"/>
        </w:numPr>
        <w:spacing w:after="80" w:line="280"/>
      </w:pPr>
      <w:r>
        <w:rPr>
          <w:b/>
          <w:bCs/>
        </w:rPr>
        <w:t xml:space="preserve">Andreia Trigo </w:t>
      </w:r>
      <w:r>
        <w:t xml:space="preserve">— CEO of Enhanced Fertility. Female founder, healthtech, Portugal — valuable for panel diversity.</w:t>
      </w:r>
    </w:p>
    <w:p>
      <w:pPr>
        <w:pStyle w:val="ListParagraph"/>
        <w:numPr>
          <w:ilvl w:val="0"/>
          <w:numId w:val="2"/>
        </w:numPr>
        <w:spacing w:after="80" w:line="280"/>
      </w:pPr>
      <w:r>
        <w:rPr>
          <w:b/>
          <w:bCs/>
        </w:rPr>
        <w:t xml:space="preserve">André Marquet </w:t>
      </w:r>
      <w:r>
        <w:t xml:space="preserve">— Founder &amp; CEO, Productized. Productized is itself an entrepreneurship community — likely deeply opinionated on bootstrapping.</w:t>
      </w:r>
    </w:p>
    <w:p>
      <w:pPr>
        <w:pStyle w:val="Heading2"/>
        <w:spacing w:after="160" w:before="280"/>
      </w:pPr>
      <w:r>
        <w:t xml:space="preserve">8.2 Tier 1 — Highest priority (investor-side)</w:t>
      </w:r>
    </w:p>
    <w:p>
      <w:pPr>
        <w:pStyle w:val="ListParagraph"/>
        <w:numPr>
          <w:ilvl w:val="0"/>
          <w:numId w:val="2"/>
        </w:numPr>
        <w:spacing w:after="80" w:line="280"/>
      </w:pPr>
      <w:r>
        <w:rPr>
          <w:b/>
          <w:bCs/>
        </w:rPr>
        <w:t xml:space="preserve">Cristina Fonseca </w:t>
      </w:r>
      <w:r>
        <w:t xml:space="preserve">— General Partner, Indico Capital Partners. Founder of Talkdesk before becoming an investor — sees both sides.</w:t>
      </w:r>
    </w:p>
    <w:p>
      <w:pPr>
        <w:pStyle w:val="ListParagraph"/>
        <w:numPr>
          <w:ilvl w:val="0"/>
          <w:numId w:val="2"/>
        </w:numPr>
        <w:spacing w:after="80" w:line="280"/>
      </w:pPr>
      <w:r>
        <w:rPr>
          <w:b/>
          <w:bCs/>
        </w:rPr>
        <w:t xml:space="preserve">Stephan de Moraes </w:t>
      </w:r>
      <w:r>
        <w:t xml:space="preserve">— Managing General Partner, Indico Capital. Likely active in seed-stage thinking that maps to your framework.</w:t>
      </w:r>
    </w:p>
    <w:p>
      <w:pPr>
        <w:pStyle w:val="ListParagraph"/>
        <w:numPr>
          <w:ilvl w:val="0"/>
          <w:numId w:val="2"/>
        </w:numPr>
        <w:spacing w:after="80" w:line="280"/>
      </w:pPr>
      <w:r>
        <w:rPr>
          <w:b/>
          <w:bCs/>
        </w:rPr>
        <w:t xml:space="preserve">Duarte Mineiro </w:t>
      </w:r>
      <w:r>
        <w:t xml:space="preserve">— Managing Partner, Armilar. One of the senior Portuguese VC voices.</w:t>
      </w:r>
    </w:p>
    <w:p>
      <w:pPr>
        <w:pStyle w:val="ListParagraph"/>
        <w:numPr>
          <w:ilvl w:val="0"/>
          <w:numId w:val="2"/>
        </w:numPr>
        <w:spacing w:after="80" w:line="280"/>
      </w:pPr>
      <w:r>
        <w:rPr>
          <w:b/>
          <w:bCs/>
        </w:rPr>
        <w:t xml:space="preserve">Francisco Ferreira Pinto / Lurdes Gramaxo </w:t>
      </w:r>
      <w:r>
        <w:t xml:space="preserve">— Bynd VC (Lurdes also President of Investors Portugal). Two from the same firm; aim for one.</w:t>
      </w:r>
    </w:p>
    <w:p>
      <w:pPr>
        <w:pStyle w:val="ListParagraph"/>
        <w:numPr>
          <w:ilvl w:val="0"/>
          <w:numId w:val="2"/>
        </w:numPr>
        <w:spacing w:after="80" w:line="280"/>
      </w:pPr>
      <w:r>
        <w:rPr>
          <w:b/>
          <w:bCs/>
        </w:rPr>
        <w:t xml:space="preserve">Pedro Ramalho Carlos </w:t>
      </w:r>
      <w:r>
        <w:t xml:space="preserve">— General Partner, Shilling. Active early-stage Portuguese VC.</w:t>
      </w:r>
    </w:p>
    <w:p>
      <w:pPr>
        <w:pStyle w:val="ListParagraph"/>
        <w:numPr>
          <w:ilvl w:val="0"/>
          <w:numId w:val="2"/>
        </w:numPr>
        <w:spacing w:after="80" w:line="280"/>
      </w:pPr>
      <w:r>
        <w:rPr>
          <w:b/>
          <w:bCs/>
        </w:rPr>
        <w:t xml:space="preserve">Sérgio Massano </w:t>
      </w:r>
      <w:r>
        <w:t xml:space="preserve">— Managing Partner, Altaz Capital.</w:t>
      </w:r>
    </w:p>
    <w:p>
      <w:pPr>
        <w:pStyle w:val="ListParagraph"/>
        <w:numPr>
          <w:ilvl w:val="0"/>
          <w:numId w:val="2"/>
        </w:numPr>
        <w:spacing w:after="80" w:line="280"/>
      </w:pPr>
      <w:r>
        <w:rPr>
          <w:b/>
          <w:bCs/>
        </w:rPr>
        <w:t xml:space="preserve">Pablo Ventura </w:t>
      </w:r>
      <w:r>
        <w:t xml:space="preserve">— General Partner, K Fund (Spanish, frequent Portugal investor).</w:t>
      </w:r>
    </w:p>
    <w:p>
      <w:pPr>
        <w:pStyle w:val="Heading2"/>
        <w:spacing w:after="160" w:before="280"/>
      </w:pPr>
      <w:r>
        <w:t xml:space="preserve">8.3 Tier 2 — Angels and ecosystem</w:t>
      </w:r>
    </w:p>
    <w:p>
      <w:pPr>
        <w:pStyle w:val="ListParagraph"/>
        <w:numPr>
          <w:ilvl w:val="0"/>
          <w:numId w:val="2"/>
        </w:numPr>
        <w:spacing w:after="80" w:line="280"/>
      </w:pPr>
      <w:r>
        <w:rPr>
          <w:b/>
          <w:bCs/>
        </w:rPr>
        <w:t xml:space="preserve">Cintia Mano </w:t>
      </w:r>
      <w:r>
        <w:t xml:space="preserve">— Angel investor, author. Likely accessible and reflective on early-stage decisions.</w:t>
      </w:r>
    </w:p>
    <w:p>
      <w:pPr>
        <w:pStyle w:val="ListParagraph"/>
        <w:numPr>
          <w:ilvl w:val="0"/>
          <w:numId w:val="2"/>
        </w:numPr>
        <w:spacing w:after="80" w:line="280"/>
      </w:pPr>
      <w:r>
        <w:rPr>
          <w:b/>
          <w:bCs/>
        </w:rPr>
        <w:t xml:space="preserve">Mary McKenna </w:t>
      </w:r>
      <w:r>
        <w:t xml:space="preserve">— Chair, AwakenAngels. UK angel network experience.</w:t>
      </w:r>
    </w:p>
    <w:p>
      <w:pPr>
        <w:pStyle w:val="ListParagraph"/>
        <w:numPr>
          <w:ilvl w:val="0"/>
          <w:numId w:val="2"/>
        </w:numPr>
        <w:spacing w:after="80" w:line="280"/>
      </w:pPr>
      <w:r>
        <w:rPr>
          <w:b/>
          <w:bCs/>
        </w:rPr>
        <w:t xml:space="preserve">Brian Caulfield </w:t>
      </w:r>
      <w:r>
        <w:t xml:space="preserve">— Chair, Scale Ireland. Strong policy and ecosystem perspective.</w:t>
      </w:r>
    </w:p>
    <w:p>
      <w:pPr>
        <w:pStyle w:val="ListParagraph"/>
        <w:numPr>
          <w:ilvl w:val="0"/>
          <w:numId w:val="2"/>
        </w:numPr>
        <w:spacing w:after="80" w:line="280"/>
      </w:pPr>
      <w:r>
        <w:rPr>
          <w:b/>
          <w:bCs/>
        </w:rPr>
        <w:t xml:space="preserve">Mike Butcher </w:t>
      </w:r>
      <w:r>
        <w:t xml:space="preserve">— Founder of Pathfounders, ex-TechCrunch. Will have a sharp opinion on the framework’s positioning, less so on factor weights.</w:t>
      </w:r>
    </w:p>
    <w:p>
      <w:pPr>
        <w:pStyle w:val="ListParagraph"/>
        <w:numPr>
          <w:ilvl w:val="0"/>
          <w:numId w:val="2"/>
        </w:numPr>
        <w:spacing w:after="80" w:line="280"/>
      </w:pPr>
      <w:r>
        <w:rPr>
          <w:b/>
          <w:bCs/>
        </w:rPr>
        <w:t xml:space="preserve">Alexandre Mendes </w:t>
      </w:r>
      <w:r>
        <w:t xml:space="preserve">— Advisor, Startup Braga. Local. Likely accessible.</w:t>
      </w:r>
    </w:p>
    <w:p>
      <w:pPr>
        <w:pStyle w:val="ListParagraph"/>
        <w:numPr>
          <w:ilvl w:val="0"/>
          <w:numId w:val="2"/>
        </w:numPr>
        <w:spacing w:after="80" w:line="280"/>
      </w:pPr>
      <w:r>
        <w:rPr>
          <w:b/>
          <w:bCs/>
        </w:rPr>
        <w:t xml:space="preserve">José Vale </w:t>
      </w:r>
      <w:r>
        <w:t xml:space="preserve">— Head of Entrepreneurship &amp; Innovation, IAPMEI. Government-funding angle on bootstrapping (grants, tax incentives).</w:t>
      </w:r>
    </w:p>
    <w:p>
      <w:pPr>
        <w:pStyle w:val="Heading2"/>
        <w:spacing w:after="160" w:before="280"/>
      </w:pPr>
      <w:r>
        <w:t xml:space="preserve">8.4 Tier 3 — International perspective</w:t>
      </w:r>
    </w:p>
    <w:p>
      <w:pPr>
        <w:pStyle w:val="ListParagraph"/>
        <w:numPr>
          <w:ilvl w:val="0"/>
          <w:numId w:val="2"/>
        </w:numPr>
        <w:spacing w:after="80" w:line="280"/>
      </w:pPr>
      <w:r>
        <w:rPr>
          <w:b/>
          <w:bCs/>
        </w:rPr>
        <w:t xml:space="preserve">Sean Seton-Rogers </w:t>
      </w:r>
      <w:r>
        <w:t xml:space="preserve">— Partner, PROfounders Capital (London).</w:t>
      </w:r>
    </w:p>
    <w:p>
      <w:pPr>
        <w:pStyle w:val="ListParagraph"/>
        <w:numPr>
          <w:ilvl w:val="0"/>
          <w:numId w:val="2"/>
        </w:numPr>
        <w:spacing w:after="80" w:line="280"/>
      </w:pPr>
      <w:r>
        <w:rPr>
          <w:b/>
          <w:bCs/>
        </w:rPr>
        <w:t xml:space="preserve">Nenad Marovac </w:t>
      </w:r>
      <w:r>
        <w:t xml:space="preserve">— CEO, DN Capital.</w:t>
      </w:r>
    </w:p>
    <w:p>
      <w:pPr>
        <w:pStyle w:val="ListParagraph"/>
        <w:numPr>
          <w:ilvl w:val="0"/>
          <w:numId w:val="2"/>
        </w:numPr>
        <w:spacing w:after="80" w:line="280"/>
      </w:pPr>
      <w:r>
        <w:rPr>
          <w:b/>
          <w:bCs/>
        </w:rPr>
        <w:t xml:space="preserve">Anne-Charlotte Joubert </w:t>
      </w:r>
      <w:r>
        <w:t xml:space="preserve">— Founder &amp; CEO, Wonderfund.</w:t>
      </w:r>
    </w:p>
    <w:p>
      <w:pPr>
        <w:pStyle w:val="Heading2"/>
        <w:spacing w:after="160" w:before="280"/>
      </w:pPr>
      <w:r>
        <w:t xml:space="preserve">8.5 Practical targeting advice</w:t>
      </w:r>
    </w:p>
    <w:p>
      <w:pPr>
        <w:pStyle w:val="ListParagraph"/>
        <w:numPr>
          <w:ilvl w:val="0"/>
          <w:numId w:val="2"/>
        </w:numPr>
        <w:spacing w:after="80" w:line="280"/>
      </w:pPr>
      <w:r>
        <w:t xml:space="preserve">Aim to confirm 3–4 slots before SIM via LinkedIn, then walk-up the rest at the venue.</w:t>
      </w:r>
    </w:p>
    <w:p>
      <w:pPr>
        <w:pStyle w:val="ListParagraph"/>
        <w:numPr>
          <w:ilvl w:val="0"/>
          <w:numId w:val="2"/>
        </w:numPr>
        <w:spacing w:after="80" w:line="280"/>
      </w:pPr>
      <w:r>
        <w:t xml:space="preserve">Tier-1 founders will be heavily booked — go for 5-minute conversations, not 15-minute deep dives. The framework should be visible at a glance for this reason.</w:t>
      </w:r>
    </w:p>
    <w:p>
      <w:pPr>
        <w:pStyle w:val="ListParagraph"/>
        <w:numPr>
          <w:ilvl w:val="0"/>
          <w:numId w:val="2"/>
        </w:numPr>
        <w:spacing w:after="80" w:line="280"/>
      </w:pPr>
      <w:r>
        <w:t xml:space="preserve">Tier-1 investors are often more accessible during coffee breaks than founders.</w:t>
      </w:r>
    </w:p>
    <w:p>
      <w:pPr>
        <w:pStyle w:val="ListParagraph"/>
        <w:numPr>
          <w:ilvl w:val="0"/>
          <w:numId w:val="2"/>
        </w:numPr>
        <w:spacing w:after="80" w:line="280"/>
      </w:pPr>
      <w:r>
        <w:t xml:space="preserve">Tier 2 (angels and ecosystem) are usually the easiest to book longer sessions with — and their feedback is often more thoughtful because they advise multiple founders.</w:t>
      </w:r>
    </w:p>
    <w:p>
      <w:pPr>
        <w:pStyle w:val="Heading1"/>
        <w:spacing w:after="200" w:before="360"/>
      </w:pPr>
      <w:r>
        <w:t xml:space="preserve">9. Outreach Templates</w:t>
      </w:r>
    </w:p>
    <w:p>
      <w:pPr>
        <w:pStyle w:val="Heading2"/>
        <w:spacing w:after="160" w:before="280"/>
      </w:pPr>
      <w:r>
        <w:t xml:space="preserve">9.1 LinkedIn message — pre-conference (founders)</w:t>
      </w:r>
    </w:p>
    <w:p>
      <w:pPr>
        <w:spacing w:after="120" w:line="300"/>
      </w:pPr>
      <w:r>
        <w:rPr>
          <w:i/>
          <w:iCs/>
        </w:rPr>
        <w:t xml:space="preserve">Subject: Quick research question at SIM next week — U.Porto MIETE</w:t>
      </w:r>
    </w:p>
    <w:p>
      <w:pPr>
        <w:spacing w:after="120" w:line="300"/>
      </w:pPr>
      <w:r>
        <w:rPr>
          <w:i/>
          <w:iCs/>
        </w:rPr>
        <w:t xml:space="preserve">Hi [Name], I’m a master’s student at U.Porto (MIETE programme) finishing a dissertation on how early-stage tech founders choose between bootstrapping and equity financing. I’ve built a decision framework grounded in the literature and I’m validating it at SIM next week with a small panel of founders and investors. Given your experience with [specific company / specific decision], would you be open to 15 minutes during the conference? I can come to you. Thank you for considering — and either way, looking forward to your session.</w:t>
      </w:r>
    </w:p>
    <w:p>
      <w:pPr>
        <w:pStyle w:val="Heading2"/>
        <w:spacing w:after="160" w:before="280"/>
      </w:pPr>
      <w:r>
        <w:t xml:space="preserve">9.2 LinkedIn message — pre-conference (investors)</w:t>
      </w:r>
    </w:p>
    <w:p>
      <w:pPr>
        <w:spacing w:after="120" w:line="300"/>
      </w:pPr>
      <w:r>
        <w:rPr>
          <w:i/>
          <w:iCs/>
        </w:rPr>
        <w:t xml:space="preserve">Subject: Validating a founder decision framework at SIM — 15 min?</w:t>
      </w:r>
    </w:p>
    <w:p>
      <w:pPr>
        <w:spacing w:after="120" w:line="300"/>
      </w:pPr>
      <w:r>
        <w:rPr>
          <w:i/>
          <w:iCs/>
        </w:rPr>
        <w:t xml:space="preserve">Hi [Name], I’m finishing a master’s dissertation at U.Porto on how early-stage founders choose between bootstrapping and equity. The artifact I’ve built is meant to support founder decision-making before they pitch — I’d value 15 minutes of your reaction at SIM next week, with a focus on whether the factors and trade-offs map to what you actually see across [Fund]’s portfolio. Happy to come to you between sessions.</w:t>
      </w:r>
    </w:p>
    <w:p>
      <w:pPr>
        <w:pStyle w:val="Heading2"/>
        <w:spacing w:after="160" w:before="280"/>
      </w:pPr>
      <w:r>
        <w:t xml:space="preserve">9.3 Email — UPTEC / ScaleUp / Invicta Angels</w:t>
      </w:r>
    </w:p>
    <w:p>
      <w:pPr>
        <w:spacing w:after="120" w:line="300"/>
      </w:pPr>
      <w:r>
        <w:rPr>
          <w:i/>
          <w:iCs/>
        </w:rPr>
        <w:t xml:space="preserve">Subject: U.Porto dissertation — request for support identifying interview panel</w:t>
      </w:r>
    </w:p>
    <w:p>
      <w:pPr>
        <w:spacing w:after="120" w:line="300"/>
      </w:pPr>
      <w:r>
        <w:rPr>
          <w:i/>
          <w:iCs/>
        </w:rPr>
        <w:t xml:space="preserve">Dear [Name],</w:t>
      </w:r>
    </w:p>
    <w:p>
      <w:pPr>
        <w:spacing w:after="120" w:line="300"/>
      </w:pPr>
      <w:r>
        <w:rPr>
          <w:i/>
          <w:iCs/>
        </w:rPr>
        <w:t xml:space="preserve">My name is Sifat, a master’s student in the MIETE programme at FEUP/FEP under the supervision of Prof. José Miguel Oliveira. My dissertation, “Bootstrapping vs. Equity Financing: Financial Strategy and Control in Early-Stage Tech Ventures,” develops a decision-support framework for early-stage founders, validated through expert interviews using Design Science Research methodology.</w:t>
      </w:r>
    </w:p>
    <w:p>
      <w:pPr>
        <w:spacing w:after="120" w:line="300"/>
      </w:pPr>
      <w:r>
        <w:rPr>
          <w:i/>
          <w:iCs/>
        </w:rPr>
        <w:t xml:space="preserve">I will be at the SIM Conference in Porto and am building a panel of 6–10 founders and investors for short structured sessions (15 minutes). Could you suggest 2–3 people in the [UPTEC / Invicta / Porto] community who might be open to participating? I’d be very grateful for any introduction you can offer.</w:t>
      </w:r>
    </w:p>
    <w:p>
      <w:pPr>
        <w:spacing w:after="120" w:line="300"/>
      </w:pPr>
      <w:r>
        <w:rPr>
          <w:i/>
          <w:iCs/>
        </w:rPr>
        <w:t xml:space="preserve">Thank you for your time — I’d be happy to share the final framework with you in return.</w:t>
      </w:r>
    </w:p>
    <w:p>
      <w:pPr>
        <w:spacing w:after="120" w:line="300"/>
      </w:pPr>
      <w:r>
        <w:rPr>
          <w:i/>
          <w:iCs/>
        </w:rPr>
        <w:t xml:space="preserve">Best regards,</w:t>
      </w:r>
    </w:p>
    <w:p>
      <w:pPr>
        <w:spacing w:after="120" w:line="300"/>
      </w:pPr>
      <w:r>
        <w:rPr>
          <w:i/>
          <w:iCs/>
        </w:rPr>
        <w:t xml:space="preserve">Sifat | MIETE, U.Porto</w:t>
      </w:r>
    </w:p>
    <w:p>
      <w:pPr>
        <w:pStyle w:val="Heading2"/>
        <w:spacing w:after="160" w:before="280"/>
      </w:pPr>
      <w:r>
        <w:t xml:space="preserve">9.4 At-conference 30-second pitch</w:t>
      </w:r>
    </w:p>
    <w:p>
      <w:pPr>
        <w:spacing w:after="120" w:line="300"/>
      </w:pPr>
      <w:r>
        <w:rPr>
          <w:i/>
          <w:iCs/>
        </w:rPr>
        <w:t xml:space="preserve">“Hi — I’m Sifat, a master’s student at U.Porto. I’m validating a decision framework on bootstrapping vs. equity for early-stage founders. Would you have 15 minutes today or tomorrow for a quick reaction? I can come to you.”</w:t>
      </w:r>
    </w:p>
    <w:p>
      <w:pPr>
        <w:pStyle w:val="Heading1"/>
        <w:spacing w:after="200" w:before="360"/>
      </w:pPr>
      <w:r>
        <w:t xml:space="preserve">10. Risks and Contingencies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800"/>
        <w:gridCol w:w="4560"/>
      </w:tblGrid>
      <w:tr>
        <w:tc>
          <w:tcPr>
            <w:tcW w:type="dxa" w:w="3000"/>
            <w:tcBorders>
              <w:top w:val="single" w:color="B0B0B0" w:sz="4"/>
              <w:left w:val="single" w:color="B0B0B0" w:sz="4"/>
              <w:bottom w:val="single" w:color="B0B0B0" w:sz="4"/>
              <w:right w:val="single" w:color="B0B0B0" w:sz="4"/>
            </w:tcBorders>
            <w:shd w:fill="1F4E79" w:val="clear"/>
            <w:tcMar>
              <w:top w:type="dxa" w:w="100"/>
              <w:left w:type="dxa" w:w="140"/>
              <w:bottom w:type="dxa" w:w="100"/>
              <w:right w:type="dxa" w:w="140"/>
            </w:tcMar>
          </w:tcPr>
          <w:p>
            <w:pPr>
              <w:spacing w:after="0"/>
            </w:pPr>
            <w:r>
              <w:rPr>
                <w:b/>
                <w:bCs/>
                <w:color w:val="FFFFFF"/>
                <w:sz w:val="20"/>
                <w:szCs w:val="20"/>
              </w:rPr>
              <w:t xml:space="preserve">Risk</w:t>
            </w:r>
          </w:p>
        </w:tc>
        <w:tc>
          <w:tcPr>
            <w:tcW w:type="dxa" w:w="1800"/>
            <w:tcBorders>
              <w:top w:val="single" w:color="B0B0B0" w:sz="4"/>
              <w:left w:val="single" w:color="B0B0B0" w:sz="4"/>
              <w:bottom w:val="single" w:color="B0B0B0" w:sz="4"/>
              <w:right w:val="single" w:color="B0B0B0" w:sz="4"/>
            </w:tcBorders>
            <w:shd w:fill="1F4E79" w:val="clear"/>
            <w:tcMar>
              <w:top w:type="dxa" w:w="100"/>
              <w:left w:type="dxa" w:w="140"/>
              <w:bottom w:type="dxa" w:w="100"/>
              <w:right w:type="dxa" w:w="140"/>
            </w:tcMar>
          </w:tcPr>
          <w:p>
            <w:pPr>
              <w:spacing w:after="0"/>
            </w:pPr>
            <w:r>
              <w:rPr>
                <w:b/>
                <w:bCs/>
                <w:color w:val="FFFFFF"/>
                <w:sz w:val="20"/>
                <w:szCs w:val="20"/>
              </w:rPr>
              <w:t xml:space="preserve">Likelihood</w:t>
            </w:r>
          </w:p>
        </w:tc>
        <w:tc>
          <w:tcPr>
            <w:tcW w:type="dxa" w:w="4560"/>
            <w:tcBorders>
              <w:top w:val="single" w:color="B0B0B0" w:sz="4"/>
              <w:left w:val="single" w:color="B0B0B0" w:sz="4"/>
              <w:bottom w:val="single" w:color="B0B0B0" w:sz="4"/>
              <w:right w:val="single" w:color="B0B0B0" w:sz="4"/>
            </w:tcBorders>
            <w:shd w:fill="1F4E79" w:val="clear"/>
            <w:tcMar>
              <w:top w:type="dxa" w:w="100"/>
              <w:left w:type="dxa" w:w="140"/>
              <w:bottom w:type="dxa" w:w="100"/>
              <w:right w:type="dxa" w:w="140"/>
            </w:tcMar>
          </w:tcPr>
          <w:p>
            <w:pPr>
              <w:spacing w:after="0"/>
            </w:pPr>
            <w:r>
              <w:rPr>
                <w:b/>
                <w:bCs/>
                <w:color w:val="FFFFFF"/>
                <w:sz w:val="20"/>
                <w:szCs w:val="20"/>
              </w:rPr>
              <w:t xml:space="preserve">Mitigation</w:t>
            </w:r>
          </w:p>
        </w:tc>
      </w:tr>
      <w:tr>
        <w:tc>
          <w:tcPr>
            <w:tcW w:type="dxa" w:w="300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spacing w:after="0"/>
            </w:pPr>
            <w:r>
              <w:rPr>
                <w:b w:val="false"/>
                <w:bCs w:val="false"/>
                <w:sz w:val="20"/>
                <w:szCs w:val="20"/>
              </w:rPr>
              <w:t xml:space="preserve">Fewer than 4 sessions on Day 1</w:t>
            </w:r>
          </w:p>
        </w:tc>
        <w:tc>
          <w:tcPr>
            <w:tcW w:type="dxa" w:w="180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spacing w:after="0"/>
            </w:pPr>
            <w:r>
              <w:rPr>
                <w:b w:val="false"/>
                <w:bCs w:val="false"/>
                <w:sz w:val="20"/>
                <w:szCs w:val="20"/>
              </w:rPr>
              <w:t xml:space="preserve">Medium</w:t>
            </w:r>
          </w:p>
        </w:tc>
        <w:tc>
          <w:tcPr>
            <w:tcW w:type="dxa" w:w="456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spacing w:after="0"/>
            </w:pPr>
            <w:r>
              <w:rPr>
                <w:b w:val="false"/>
                <w:bCs w:val="false"/>
                <w:sz w:val="20"/>
                <w:szCs w:val="20"/>
              </w:rPr>
              <w:t xml:space="preserve">Aim for 6–8 confirmations pre-conference. Walk-up Tier 2 and ecosystem people who are typically accessible.</w:t>
            </w:r>
          </w:p>
        </w:tc>
      </w:tr>
      <w:tr>
        <w:tc>
          <w:tcPr>
            <w:tcW w:type="dxa" w:w="3000"/>
            <w:tcBorders>
              <w:top w:val="single" w:color="B0B0B0" w:sz="4"/>
              <w:left w:val="single" w:color="B0B0B0" w:sz="4"/>
              <w:bottom w:val="single" w:color="B0B0B0" w:sz="4"/>
              <w:right w:val="single" w:color="B0B0B0" w:sz="4"/>
            </w:tcBorders>
            <w:shd w:fill="F2F2F2" w:val="clear"/>
            <w:tcMar>
              <w:top w:type="dxa" w:w="100"/>
              <w:left w:type="dxa" w:w="140"/>
              <w:bottom w:type="dxa" w:w="100"/>
              <w:right w:type="dxa" w:w="140"/>
            </w:tcMar>
          </w:tcPr>
          <w:p>
            <w:pPr>
              <w:spacing w:after="0"/>
            </w:pPr>
            <w:r>
              <w:rPr>
                <w:b w:val="false"/>
                <w:bCs w:val="false"/>
                <w:sz w:val="20"/>
                <w:szCs w:val="20"/>
              </w:rPr>
              <w:t xml:space="preserve">Sessions run too long, you cover fewer</w:t>
            </w:r>
          </w:p>
        </w:tc>
        <w:tc>
          <w:tcPr>
            <w:tcW w:type="dxa" w:w="1800"/>
            <w:tcBorders>
              <w:top w:val="single" w:color="B0B0B0" w:sz="4"/>
              <w:left w:val="single" w:color="B0B0B0" w:sz="4"/>
              <w:bottom w:val="single" w:color="B0B0B0" w:sz="4"/>
              <w:right w:val="single" w:color="B0B0B0" w:sz="4"/>
            </w:tcBorders>
            <w:shd w:fill="F2F2F2" w:val="clear"/>
            <w:tcMar>
              <w:top w:type="dxa" w:w="100"/>
              <w:left w:type="dxa" w:w="140"/>
              <w:bottom w:type="dxa" w:w="100"/>
              <w:right w:type="dxa" w:w="140"/>
            </w:tcMar>
          </w:tcPr>
          <w:p>
            <w:pPr>
              <w:spacing w:after="0"/>
            </w:pPr>
            <w:r>
              <w:rPr>
                <w:b w:val="false"/>
                <w:bCs w:val="false"/>
                <w:sz w:val="20"/>
                <w:szCs w:val="20"/>
              </w:rPr>
              <w:t xml:space="preserve">High</w:t>
            </w:r>
          </w:p>
        </w:tc>
        <w:tc>
          <w:tcPr>
            <w:tcW w:type="dxa" w:w="4560"/>
            <w:tcBorders>
              <w:top w:val="single" w:color="B0B0B0" w:sz="4"/>
              <w:left w:val="single" w:color="B0B0B0" w:sz="4"/>
              <w:bottom w:val="single" w:color="B0B0B0" w:sz="4"/>
              <w:right w:val="single" w:color="B0B0B0" w:sz="4"/>
            </w:tcBorders>
            <w:shd w:fill="F2F2F2" w:val="clear"/>
            <w:tcMar>
              <w:top w:type="dxa" w:w="100"/>
              <w:left w:type="dxa" w:w="140"/>
              <w:bottom w:type="dxa" w:w="100"/>
              <w:right w:type="dxa" w:w="140"/>
            </w:tcMar>
          </w:tcPr>
          <w:p>
            <w:pPr>
              <w:spacing w:after="0"/>
            </w:pPr>
            <w:r>
              <w:rPr>
                <w:b w:val="false"/>
                <w:bCs w:val="false"/>
                <w:sz w:val="20"/>
                <w:szCs w:val="20"/>
              </w:rPr>
              <w:t xml:space="preserve">Strict 15-minute rule. Print a timer-friendly agenda card. Ask the closing question at minute 12.</w:t>
            </w:r>
          </w:p>
        </w:tc>
      </w:tr>
      <w:tr>
        <w:tc>
          <w:tcPr>
            <w:tcW w:type="dxa" w:w="300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spacing w:after="0"/>
            </w:pPr>
            <w:r>
              <w:rPr>
                <w:b w:val="false"/>
                <w:bCs w:val="false"/>
                <w:sz w:val="20"/>
                <w:szCs w:val="20"/>
              </w:rPr>
              <w:t xml:space="preserve">Tier-1 founders unreachable</w:t>
            </w:r>
          </w:p>
        </w:tc>
        <w:tc>
          <w:tcPr>
            <w:tcW w:type="dxa" w:w="180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spacing w:after="0"/>
            </w:pPr>
            <w:r>
              <w:rPr>
                <w:b w:val="false"/>
                <w:bCs w:val="false"/>
                <w:sz w:val="20"/>
                <w:szCs w:val="20"/>
              </w:rPr>
              <w:t xml:space="preserve">High</w:t>
            </w:r>
          </w:p>
        </w:tc>
        <w:tc>
          <w:tcPr>
            <w:tcW w:type="dxa" w:w="456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spacing w:after="0"/>
            </w:pPr>
            <w:r>
              <w:rPr>
                <w:b w:val="false"/>
                <w:bCs w:val="false"/>
                <w:sz w:val="20"/>
                <w:szCs w:val="20"/>
              </w:rPr>
              <w:t xml:space="preserve">Don’t depend on them. Tier 2/3 give equally valid feedback for an academic artifact.</w:t>
            </w:r>
          </w:p>
        </w:tc>
      </w:tr>
      <w:tr>
        <w:tc>
          <w:tcPr>
            <w:tcW w:type="dxa" w:w="3000"/>
            <w:tcBorders>
              <w:top w:val="single" w:color="B0B0B0" w:sz="4"/>
              <w:left w:val="single" w:color="B0B0B0" w:sz="4"/>
              <w:bottom w:val="single" w:color="B0B0B0" w:sz="4"/>
              <w:right w:val="single" w:color="B0B0B0" w:sz="4"/>
            </w:tcBorders>
            <w:shd w:fill="F2F2F2" w:val="clear"/>
            <w:tcMar>
              <w:top w:type="dxa" w:w="100"/>
              <w:left w:type="dxa" w:w="140"/>
              <w:bottom w:type="dxa" w:w="100"/>
              <w:right w:type="dxa" w:w="140"/>
            </w:tcMar>
          </w:tcPr>
          <w:p>
            <w:pPr>
              <w:spacing w:after="0"/>
            </w:pPr>
            <w:r>
              <w:rPr>
                <w:b w:val="false"/>
                <w:bCs w:val="false"/>
                <w:sz w:val="20"/>
                <w:szCs w:val="20"/>
              </w:rPr>
              <w:t xml:space="preserve">Feedback is contradictory</w:t>
            </w:r>
          </w:p>
        </w:tc>
        <w:tc>
          <w:tcPr>
            <w:tcW w:type="dxa" w:w="1800"/>
            <w:tcBorders>
              <w:top w:val="single" w:color="B0B0B0" w:sz="4"/>
              <w:left w:val="single" w:color="B0B0B0" w:sz="4"/>
              <w:bottom w:val="single" w:color="B0B0B0" w:sz="4"/>
              <w:right w:val="single" w:color="B0B0B0" w:sz="4"/>
            </w:tcBorders>
            <w:shd w:fill="F2F2F2" w:val="clear"/>
            <w:tcMar>
              <w:top w:type="dxa" w:w="100"/>
              <w:left w:type="dxa" w:w="140"/>
              <w:bottom w:type="dxa" w:w="100"/>
              <w:right w:type="dxa" w:w="140"/>
            </w:tcMar>
          </w:tcPr>
          <w:p>
            <w:pPr>
              <w:spacing w:after="0"/>
            </w:pPr>
            <w:r>
              <w:rPr>
                <w:b w:val="false"/>
                <w:bCs w:val="false"/>
                <w:sz w:val="20"/>
                <w:szCs w:val="20"/>
              </w:rPr>
              <w:t xml:space="preserve">High (this is fine)</w:t>
            </w:r>
          </w:p>
        </w:tc>
        <w:tc>
          <w:tcPr>
            <w:tcW w:type="dxa" w:w="4560"/>
            <w:tcBorders>
              <w:top w:val="single" w:color="B0B0B0" w:sz="4"/>
              <w:left w:val="single" w:color="B0B0B0" w:sz="4"/>
              <w:bottom w:val="single" w:color="B0B0B0" w:sz="4"/>
              <w:right w:val="single" w:color="B0B0B0" w:sz="4"/>
            </w:tcBorders>
            <w:shd w:fill="F2F2F2" w:val="clear"/>
            <w:tcMar>
              <w:top w:type="dxa" w:w="100"/>
              <w:left w:type="dxa" w:w="140"/>
              <w:bottom w:type="dxa" w:w="100"/>
              <w:right w:type="dxa" w:w="140"/>
            </w:tcMar>
          </w:tcPr>
          <w:p>
            <w:pPr>
              <w:spacing w:after="0"/>
            </w:pPr>
            <w:r>
              <w:rPr>
                <w:b w:val="false"/>
                <w:bCs w:val="false"/>
                <w:sz w:val="20"/>
                <w:szCs w:val="20"/>
              </w:rPr>
              <w:t xml:space="preserve">Document both sides; this is data, not noise. Note in Assessment chapter that contradictions reflect heterogeneity in the founder population.</w:t>
            </w:r>
          </w:p>
        </w:tc>
      </w:tr>
      <w:tr>
        <w:tc>
          <w:tcPr>
            <w:tcW w:type="dxa" w:w="300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spacing w:after="0"/>
            </w:pPr>
            <w:r>
              <w:rPr>
                <w:b w:val="false"/>
                <w:bCs w:val="false"/>
                <w:sz w:val="20"/>
                <w:szCs w:val="20"/>
              </w:rPr>
              <w:t xml:space="preserve">Recording consent refused</w:t>
            </w:r>
          </w:p>
        </w:tc>
        <w:tc>
          <w:tcPr>
            <w:tcW w:type="dxa" w:w="180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spacing w:after="0"/>
            </w:pPr>
            <w:r>
              <w:rPr>
                <w:b w:val="false"/>
                <w:bCs w:val="false"/>
                <w:sz w:val="20"/>
                <w:szCs w:val="20"/>
              </w:rPr>
              <w:t xml:space="preserve">Medium</w:t>
            </w:r>
          </w:p>
        </w:tc>
        <w:tc>
          <w:tcPr>
            <w:tcW w:type="dxa" w:w="456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spacing w:after="0"/>
            </w:pPr>
            <w:r>
              <w:rPr>
                <w:b w:val="false"/>
                <w:bCs w:val="false"/>
                <w:sz w:val="20"/>
                <w:szCs w:val="20"/>
              </w:rPr>
              <w:t xml:space="preserve">Have a paper note-taking fallback. Never push back on recording refusal.</w:t>
            </w:r>
          </w:p>
        </w:tc>
      </w:tr>
      <w:tr>
        <w:tc>
          <w:tcPr>
            <w:tcW w:type="dxa" w:w="3000"/>
            <w:tcBorders>
              <w:top w:val="single" w:color="B0B0B0" w:sz="4"/>
              <w:left w:val="single" w:color="B0B0B0" w:sz="4"/>
              <w:bottom w:val="single" w:color="B0B0B0" w:sz="4"/>
              <w:right w:val="single" w:color="B0B0B0" w:sz="4"/>
            </w:tcBorders>
            <w:shd w:fill="F2F2F2" w:val="clear"/>
            <w:tcMar>
              <w:top w:type="dxa" w:w="100"/>
              <w:left w:type="dxa" w:w="140"/>
              <w:bottom w:type="dxa" w:w="100"/>
              <w:right w:type="dxa" w:w="140"/>
            </w:tcMar>
          </w:tcPr>
          <w:p>
            <w:pPr>
              <w:spacing w:after="0"/>
            </w:pPr>
            <w:r>
              <w:rPr>
                <w:b w:val="false"/>
                <w:bCs w:val="false"/>
                <w:sz w:val="20"/>
                <w:szCs w:val="20"/>
              </w:rPr>
              <w:t xml:space="preserve">No time to iterate overnight</w:t>
            </w:r>
          </w:p>
        </w:tc>
        <w:tc>
          <w:tcPr>
            <w:tcW w:type="dxa" w:w="1800"/>
            <w:tcBorders>
              <w:top w:val="single" w:color="B0B0B0" w:sz="4"/>
              <w:left w:val="single" w:color="B0B0B0" w:sz="4"/>
              <w:bottom w:val="single" w:color="B0B0B0" w:sz="4"/>
              <w:right w:val="single" w:color="B0B0B0" w:sz="4"/>
            </w:tcBorders>
            <w:shd w:fill="F2F2F2" w:val="clear"/>
            <w:tcMar>
              <w:top w:type="dxa" w:w="100"/>
              <w:left w:type="dxa" w:w="140"/>
              <w:bottom w:type="dxa" w:w="100"/>
              <w:right w:type="dxa" w:w="140"/>
            </w:tcMar>
          </w:tcPr>
          <w:p>
            <w:pPr>
              <w:spacing w:after="0"/>
            </w:pPr>
            <w:r>
              <w:rPr>
                <w:b w:val="false"/>
                <w:bCs w:val="false"/>
                <w:sz w:val="20"/>
                <w:szCs w:val="20"/>
              </w:rPr>
              <w:t xml:space="preserve">Medium</w:t>
            </w:r>
          </w:p>
        </w:tc>
        <w:tc>
          <w:tcPr>
            <w:tcW w:type="dxa" w:w="4560"/>
            <w:tcBorders>
              <w:top w:val="single" w:color="B0B0B0" w:sz="4"/>
              <w:left w:val="single" w:color="B0B0B0" w:sz="4"/>
              <w:bottom w:val="single" w:color="B0B0B0" w:sz="4"/>
              <w:right w:val="single" w:color="B0B0B0" w:sz="4"/>
            </w:tcBorders>
            <w:shd w:fill="F2F2F2" w:val="clear"/>
            <w:tcMar>
              <w:top w:type="dxa" w:w="100"/>
              <w:left w:type="dxa" w:w="140"/>
              <w:bottom w:type="dxa" w:w="100"/>
              <w:right w:type="dxa" w:w="140"/>
            </w:tcMar>
          </w:tcPr>
          <w:p>
            <w:pPr>
              <w:spacing w:after="0"/>
            </w:pPr>
            <w:r>
              <w:rPr>
                <w:b w:val="false"/>
                <w:bCs w:val="false"/>
                <w:sz w:val="20"/>
                <w:szCs w:val="20"/>
              </w:rPr>
              <w:t xml:space="preserve">Have a pre-built v2 skeleton ready before SIM. The overnight pass is updates, not full redesign.</w:t>
            </w:r>
          </w:p>
        </w:tc>
      </w:tr>
      <w:tr>
        <w:tc>
          <w:tcPr>
            <w:tcW w:type="dxa" w:w="300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spacing w:after="0"/>
            </w:pPr>
            <w:r>
              <w:rPr>
                <w:b w:val="false"/>
                <w:bCs w:val="false"/>
                <w:sz w:val="20"/>
                <w:szCs w:val="20"/>
              </w:rPr>
              <w:t xml:space="preserve">Day 2 yields no fresh respondents</w:t>
            </w:r>
          </w:p>
        </w:tc>
        <w:tc>
          <w:tcPr>
            <w:tcW w:type="dxa" w:w="180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spacing w:after="0"/>
            </w:pPr>
            <w:r>
              <w:rPr>
                <w:b w:val="false"/>
                <w:bCs w:val="false"/>
                <w:sz w:val="20"/>
                <w:szCs w:val="20"/>
              </w:rPr>
              <w:t xml:space="preserve">Low</w:t>
            </w:r>
          </w:p>
        </w:tc>
        <w:tc>
          <w:tcPr>
            <w:tcW w:type="dxa" w:w="456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spacing w:after="0"/>
            </w:pPr>
            <w:r>
              <w:rPr>
                <w:b w:val="false"/>
                <w:bCs w:val="false"/>
                <w:sz w:val="20"/>
                <w:szCs w:val="20"/>
              </w:rPr>
              <w:t xml:space="preserve">The Track A confirmation visits alone are sufficient evidence for summative evaluation.</w:t>
            </w:r>
          </w:p>
        </w:tc>
      </w:tr>
    </w:tbl>
    <w:p>
      <w:pPr>
        <w:pStyle w:val="Heading1"/>
        <w:spacing w:after="200" w:before="360"/>
      </w:pPr>
      <w:r>
        <w:t xml:space="preserve">11. Master Checklist</w:t>
      </w:r>
    </w:p>
    <w:p>
      <w:pPr>
        <w:pStyle w:val="Heading2"/>
        <w:spacing w:after="160" w:before="280"/>
      </w:pPr>
      <w:r>
        <w:t xml:space="preserve">Before SIM</w:t>
      </w:r>
    </w:p>
    <w:p>
      <w:pPr>
        <w:pStyle w:val="ListParagraph"/>
        <w:numPr>
          <w:ilvl w:val="0"/>
          <w:numId w:val="2"/>
        </w:numPr>
        <w:spacing w:after="80" w:line="280"/>
      </w:pPr>
      <w:r>
        <w:t xml:space="preserve">SFDF v1 locked (factors, scoring, logic, brief template)</w:t>
      </w:r>
    </w:p>
    <w:p>
      <w:pPr>
        <w:pStyle w:val="ListParagraph"/>
        <w:numPr>
          <w:ilvl w:val="0"/>
          <w:numId w:val="2"/>
        </w:numPr>
        <w:spacing w:after="80" w:line="280"/>
      </w:pPr>
      <w:r>
        <w:t xml:space="preserve">Excel scorer working and tested with 2–3 cases</w:t>
      </w:r>
    </w:p>
    <w:p>
      <w:pPr>
        <w:pStyle w:val="ListParagraph"/>
        <w:numPr>
          <w:ilvl w:val="0"/>
          <w:numId w:val="2"/>
        </w:numPr>
        <w:spacing w:after="80" w:line="280"/>
      </w:pPr>
      <w:r>
        <w:t xml:space="preserve">Validation pack printed (×15): brief template, factor list, feedback form</w:t>
      </w:r>
    </w:p>
    <w:p>
      <w:pPr>
        <w:pStyle w:val="ListParagraph"/>
        <w:numPr>
          <w:ilvl w:val="0"/>
          <w:numId w:val="2"/>
        </w:numPr>
        <w:spacing w:after="80" w:line="280"/>
      </w:pPr>
      <w:r>
        <w:t xml:space="preserve">1-page leave-behind (“about the research”)</w:t>
      </w:r>
    </w:p>
    <w:p>
      <w:pPr>
        <w:pStyle w:val="ListParagraph"/>
        <w:numPr>
          <w:ilvl w:val="0"/>
          <w:numId w:val="2"/>
        </w:numPr>
        <w:spacing w:after="80" w:line="280"/>
      </w:pPr>
      <w:r>
        <w:t xml:space="preserve">Target list with LinkedIn URLs and pre-conference messages sent</w:t>
      </w:r>
    </w:p>
    <w:p>
      <w:pPr>
        <w:pStyle w:val="ListParagraph"/>
        <w:numPr>
          <w:ilvl w:val="0"/>
          <w:numId w:val="2"/>
        </w:numPr>
        <w:spacing w:after="80" w:line="280"/>
      </w:pPr>
      <w:r>
        <w:t xml:space="preserve">3–4 confirmed slots</w:t>
      </w:r>
    </w:p>
    <w:p>
      <w:pPr>
        <w:pStyle w:val="ListParagraph"/>
        <w:numPr>
          <w:ilvl w:val="0"/>
          <w:numId w:val="2"/>
        </w:numPr>
        <w:spacing w:after="80" w:line="280"/>
      </w:pPr>
      <w:r>
        <w:t xml:space="preserve">Audio recording app tested + consent script</w:t>
      </w:r>
    </w:p>
    <w:p>
      <w:pPr>
        <w:pStyle w:val="ListParagraph"/>
        <w:numPr>
          <w:ilvl w:val="0"/>
          <w:numId w:val="2"/>
        </w:numPr>
        <w:spacing w:after="80" w:line="280"/>
      </w:pPr>
      <w:r>
        <w:t xml:space="preserve">Notebook + 3 pens</w:t>
      </w:r>
    </w:p>
    <w:p>
      <w:pPr>
        <w:pStyle w:val="Heading2"/>
        <w:spacing w:after="160" w:before="280"/>
      </w:pPr>
      <w:r>
        <w:t xml:space="preserve">During SIM Day 1</w:t>
      </w:r>
    </w:p>
    <w:p>
      <w:pPr>
        <w:pStyle w:val="ListParagraph"/>
        <w:numPr>
          <w:ilvl w:val="0"/>
          <w:numId w:val="2"/>
        </w:numPr>
        <w:spacing w:after="80" w:line="280"/>
      </w:pPr>
      <w:r>
        <w:t xml:space="preserve">Run 4–6 sessions</w:t>
      </w:r>
    </w:p>
    <w:p>
      <w:pPr>
        <w:pStyle w:val="ListParagraph"/>
        <w:numPr>
          <w:ilvl w:val="0"/>
          <w:numId w:val="2"/>
        </w:numPr>
        <w:spacing w:after="80" w:line="280"/>
      </w:pPr>
      <w:r>
        <w:t xml:space="preserve">5-minute typed-up notes immediately after each session</w:t>
      </w:r>
    </w:p>
    <w:p>
      <w:pPr>
        <w:pStyle w:val="ListParagraph"/>
        <w:numPr>
          <w:ilvl w:val="0"/>
          <w:numId w:val="2"/>
        </w:numPr>
        <w:spacing w:after="80" w:line="280"/>
      </w:pPr>
      <w:r>
        <w:t xml:space="preserve">Get follow-up consent for Day 2</w:t>
      </w:r>
    </w:p>
    <w:p>
      <w:pPr>
        <w:pStyle w:val="ListParagraph"/>
        <w:numPr>
          <w:ilvl w:val="0"/>
          <w:numId w:val="2"/>
        </w:numPr>
        <w:spacing w:after="80" w:line="280"/>
      </w:pPr>
      <w:r>
        <w:t xml:space="preserve">Evening: synthesize, revise, reprint</w:t>
      </w:r>
    </w:p>
    <w:p>
      <w:pPr>
        <w:pStyle w:val="Heading2"/>
        <w:spacing w:after="160" w:before="280"/>
      </w:pPr>
      <w:r>
        <w:t xml:space="preserve">During SIM Day 2</w:t>
      </w:r>
    </w:p>
    <w:p>
      <w:pPr>
        <w:pStyle w:val="ListParagraph"/>
        <w:numPr>
          <w:ilvl w:val="0"/>
          <w:numId w:val="2"/>
        </w:numPr>
        <w:spacing w:after="80" w:line="280"/>
      </w:pPr>
      <w:r>
        <w:t xml:space="preserve">Track A: return visits to Day 1 respondents</w:t>
      </w:r>
    </w:p>
    <w:p>
      <w:pPr>
        <w:pStyle w:val="ListParagraph"/>
        <w:numPr>
          <w:ilvl w:val="0"/>
          <w:numId w:val="2"/>
        </w:numPr>
        <w:spacing w:after="80" w:line="280"/>
      </w:pPr>
      <w:r>
        <w:t xml:space="preserve">Track B: 3–4 fresh sessions with v2</w:t>
      </w:r>
    </w:p>
    <w:p>
      <w:pPr>
        <w:pStyle w:val="ListParagraph"/>
        <w:numPr>
          <w:ilvl w:val="0"/>
          <w:numId w:val="2"/>
        </w:numPr>
        <w:spacing w:after="80" w:line="280"/>
      </w:pPr>
      <w:r>
        <w:t xml:space="preserve">Final consent confirmation for use of quotes</w:t>
      </w:r>
    </w:p>
    <w:p>
      <w:pPr>
        <w:pStyle w:val="Heading2"/>
        <w:spacing w:after="160" w:before="280"/>
      </w:pPr>
      <w:r>
        <w:t xml:space="preserve">After SIM</w:t>
      </w:r>
    </w:p>
    <w:p>
      <w:pPr>
        <w:pStyle w:val="ListParagraph"/>
        <w:numPr>
          <w:ilvl w:val="0"/>
          <w:numId w:val="2"/>
        </w:numPr>
        <w:spacing w:after="80" w:line="280"/>
      </w:pPr>
      <w:r>
        <w:t xml:space="preserve">Transcribe recordings within 48 hours</w:t>
      </w:r>
    </w:p>
    <w:p>
      <w:pPr>
        <w:pStyle w:val="ListParagraph"/>
        <w:numPr>
          <w:ilvl w:val="0"/>
          <w:numId w:val="2"/>
        </w:numPr>
        <w:spacing w:after="80" w:line="280"/>
      </w:pPr>
      <w:r>
        <w:t xml:space="preserve">Build the v1→v2 changelog table</w:t>
      </w:r>
    </w:p>
    <w:p>
      <w:pPr>
        <w:pStyle w:val="ListParagraph"/>
        <w:numPr>
          <w:ilvl w:val="0"/>
          <w:numId w:val="2"/>
        </w:numPr>
        <w:spacing w:after="80" w:line="280"/>
      </w:pPr>
      <w:r>
        <w:t xml:space="preserve">Quantitative summary of Likert responses</w:t>
      </w:r>
    </w:p>
    <w:p>
      <w:pPr>
        <w:pStyle w:val="ListParagraph"/>
        <w:numPr>
          <w:ilvl w:val="0"/>
          <w:numId w:val="2"/>
        </w:numPr>
        <w:spacing w:after="80" w:line="280"/>
      </w:pPr>
      <w:r>
        <w:t xml:space="preserve">Draft Methodology and Assessment chapter additions</w:t>
      </w:r>
    </w:p>
    <w:p>
      <w:pPr>
        <w:pStyle w:val="ListParagraph"/>
        <w:numPr>
          <w:ilvl w:val="0"/>
          <w:numId w:val="2"/>
        </w:numPr>
        <w:spacing w:after="80" w:line="280"/>
      </w:pPr>
      <w:r>
        <w:t xml:space="preserve">Send thank-you notes to all respondents</w:t>
      </w:r>
    </w:p>
    <w:p>
      <w:pPr>
        <w:pStyle w:val="Heading1"/>
        <w:spacing w:after="200" w:before="360"/>
      </w:pPr>
      <w:r>
        <w:t xml:space="preserve">12. A Note on Realism</w:t>
      </w:r>
    </w:p>
    <w:p>
      <w:pPr>
        <w:spacing w:after="120" w:line="300"/>
      </w:pPr>
      <w:r>
        <w:t xml:space="preserve">Two days is tight, but doable, because SIM compresses what would otherwise take weeks of recruitment into a single venue. The single biggest risk is not respondent count — it is overbuilding the artifact. SFDF v1 should be good, not perfect. The point of bringing it to SIM is that practitioners reveal what’s wrong faster than any amount of solo refinement will.</w:t>
      </w:r>
    </w:p>
    <w:p>
      <w:pPr>
        <w:spacing w:after="120" w:line="300"/>
      </w:pPr>
      <w:r>
        <w:t xml:space="preserve">Treat Day 1 as data collection, not as performance. The feedback that stings is the feedback worth having.</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Calibri" w:cs="Calibri" w:eastAsia="Calibri" w:hAnsi="Calibri"/>
      <w:b/>
      <w:bCs/>
      <w:color w:val="1F4E79"/>
      <w:sz w:val="32"/>
      <w:szCs w:val="32"/>
    </w:rPr>
  </w:style>
  <w:style w:type="paragraph" w:styleId="Heading2">
    <w:name w:val="Heading 2"/>
    <w:basedOn w:val="Normal"/>
    <w:next w:val="Normal"/>
    <w:qFormat/>
    <w:pPr>
      <w:spacing w:after="160" w:before="280"/>
      <w:outlineLvl w:val="1"/>
    </w:pPr>
    <w:rPr>
      <w:rFonts w:ascii="Calibri" w:cs="Calibri" w:eastAsia="Calibri" w:hAnsi="Calibri"/>
      <w:b/>
      <w:bCs/>
      <w:color w:val="2E75B6"/>
      <w:sz w:val="26"/>
      <w:szCs w:val="26"/>
    </w:rPr>
  </w:style>
  <w:style w:type="paragraph" w:styleId="Heading3">
    <w:name w:val="Heading 3"/>
    <w:basedOn w:val="Normal"/>
    <w:next w:val="Normal"/>
    <w:qFormat/>
    <w:pPr>
      <w:spacing w:after="120" w:before="220"/>
      <w:outlineLvl w:val="2"/>
    </w:pPr>
    <w:rPr>
      <w:rFonts w:ascii="Calibri" w:cs="Calibri" w:eastAsia="Calibri" w:hAnsi="Calibri"/>
      <w:b/>
      <w:bCs/>
      <w:color w:val="404040"/>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2026-04-28T22:52:55.698Z</dcterms:created>
  <dcterms:modified xsi:type="dcterms:W3CDTF">2026-04-28T22:52:55.698Z</dcterms:modified>
</cp:coreProperties>
</file>

<file path=docProps/custom.xml><?xml version="1.0" encoding="utf-8"?>
<Properties xmlns="http://schemas.openxmlformats.org/officeDocument/2006/custom-properties" xmlns:vt="http://schemas.openxmlformats.org/officeDocument/2006/docPropsVTypes"/>
</file>