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957A58" w14:textId="77777777" w:rsidR="0061784F" w:rsidRDefault="00000000">
      <w:pPr>
        <w:spacing w:after="80"/>
        <w:jc w:val="center"/>
      </w:pPr>
      <w:r>
        <w:rPr>
          <w:b/>
          <w:bCs/>
          <w:color w:val="1F4E79"/>
          <w:sz w:val="40"/>
          <w:szCs w:val="40"/>
        </w:rPr>
        <w:t>Strategic Financing Decision Framework</w:t>
      </w:r>
    </w:p>
    <w:p w14:paraId="5D8333CB" w14:textId="77777777" w:rsidR="0061784F" w:rsidRDefault="00000000">
      <w:pPr>
        <w:spacing w:after="40"/>
        <w:jc w:val="center"/>
      </w:pPr>
      <w:r>
        <w:rPr>
          <w:i/>
          <w:iCs/>
          <w:color w:val="555555"/>
          <w:sz w:val="26"/>
          <w:szCs w:val="26"/>
        </w:rPr>
        <w:t>(SFDF) — Version 1.0</w:t>
      </w:r>
    </w:p>
    <w:p w14:paraId="0D66EAEF" w14:textId="77777777" w:rsidR="0061784F" w:rsidRDefault="00000000">
      <w:pPr>
        <w:spacing w:after="360"/>
        <w:jc w:val="center"/>
      </w:pPr>
      <w:r>
        <w:rPr>
          <w:color w:val="777777"/>
        </w:rPr>
        <w:t>A decision-support artifact for early-stage tech founders choosing between bootstrapping and equity financing</w:t>
      </w:r>
    </w:p>
    <w:p w14:paraId="404F93CA" w14:textId="76B68461" w:rsidR="0061784F" w:rsidRDefault="00000000">
      <w:pPr>
        <w:spacing w:after="120"/>
        <w:jc w:val="center"/>
      </w:pPr>
      <w:r>
        <w:rPr>
          <w:color w:val="777777"/>
          <w:sz w:val="20"/>
          <w:szCs w:val="20"/>
        </w:rPr>
        <w:t xml:space="preserve">MIETE Dissertation — </w:t>
      </w:r>
      <w:r w:rsidR="00722DDC">
        <w:rPr>
          <w:color w:val="777777"/>
          <w:sz w:val="20"/>
          <w:szCs w:val="20"/>
        </w:rPr>
        <w:t xml:space="preserve">Rakibul Islam </w:t>
      </w:r>
      <w:r>
        <w:rPr>
          <w:color w:val="777777"/>
          <w:sz w:val="20"/>
          <w:szCs w:val="20"/>
        </w:rPr>
        <w:t>Sifat | FEUP/FEP, U.Porto</w:t>
      </w:r>
    </w:p>
    <w:p w14:paraId="47E5725E" w14:textId="77777777" w:rsidR="0061784F" w:rsidRDefault="00000000">
      <w:pPr>
        <w:spacing w:after="480"/>
        <w:jc w:val="center"/>
      </w:pPr>
      <w:r>
        <w:rPr>
          <w:color w:val="777777"/>
          <w:sz w:val="20"/>
          <w:szCs w:val="20"/>
        </w:rPr>
        <w:t>Supervisor: Prof. José Miguel Oliveira</w:t>
      </w:r>
    </w:p>
    <w:p w14:paraId="48614CA6" w14:textId="77777777" w:rsidR="0061784F" w:rsidRDefault="00000000">
      <w:pPr>
        <w:pStyle w:val="Heading1"/>
      </w:pPr>
      <w:r>
        <w:t>1. Purpose and Theoretical Foundation</w:t>
      </w:r>
    </w:p>
    <w:p w14:paraId="57C6679A" w14:textId="77777777" w:rsidR="0061784F" w:rsidRDefault="00000000">
      <w:pPr>
        <w:spacing w:after="120" w:line="300" w:lineRule="auto"/>
      </w:pPr>
      <w:r>
        <w:t>The Strategic Financing Decision Framework (SFDF) is a structured decision-support artifact developed through Design Science Research (Hevner et al., 2004; Peffers et al., 2007). Its purpose is to help an early-stage technology founder reason systematically about whether bootstrapping or equity financing better fits their venture's situation, given the trade-offs in financial control, ownership dilution, growth velocity, and access to non-capital resources.</w:t>
      </w:r>
    </w:p>
    <w:p w14:paraId="71815CFA" w14:textId="77777777" w:rsidR="0061784F" w:rsidRDefault="00000000">
      <w:pPr>
        <w:spacing w:after="120" w:line="300" w:lineRule="auto"/>
      </w:pPr>
      <w:r>
        <w:t>The framework is theoretically grounded in two complementary lenses:</w:t>
      </w:r>
    </w:p>
    <w:p w14:paraId="0AD8E174" w14:textId="77777777" w:rsidR="0061784F" w:rsidRDefault="00000000">
      <w:pPr>
        <w:pStyle w:val="ListParagraph"/>
        <w:numPr>
          <w:ilvl w:val="0"/>
          <w:numId w:val="2"/>
        </w:numPr>
        <w:spacing w:after="80" w:line="280" w:lineRule="auto"/>
      </w:pPr>
      <w:r>
        <w:rPr>
          <w:b/>
          <w:bCs/>
        </w:rPr>
        <w:t xml:space="preserve">Agency Theory </w:t>
      </w:r>
      <w:r>
        <w:t>(Jensen &amp; Meckling, 1976) — illuminates the principal-agent tensions introduced when external equity is raised, particularly around control rights, governance, and information asymmetry between founders and investors.</w:t>
      </w:r>
    </w:p>
    <w:p w14:paraId="3D4DD191" w14:textId="77777777" w:rsidR="0061784F" w:rsidRDefault="00000000">
      <w:pPr>
        <w:pStyle w:val="ListParagraph"/>
        <w:numPr>
          <w:ilvl w:val="0"/>
          <w:numId w:val="2"/>
        </w:numPr>
        <w:spacing w:after="80" w:line="280" w:lineRule="auto"/>
      </w:pPr>
      <w:r>
        <w:rPr>
          <w:b/>
          <w:bCs/>
        </w:rPr>
        <w:t xml:space="preserve">Resource Dependence Theory </w:t>
      </w:r>
      <w:r>
        <w:t>(Pfeffer &amp; Salancik, 1978) — explains why founders may rationally choose equity despite dilution, when external investors offer access to scarce, value-creating resources (networks, hiring, governance, market signaling) that bootstrapping cannot provide.</w:t>
      </w:r>
    </w:p>
    <w:p w14:paraId="6D6D8AE1" w14:textId="77777777" w:rsidR="0061784F" w:rsidRDefault="00000000">
      <w:pPr>
        <w:spacing w:after="120" w:line="300" w:lineRule="auto"/>
      </w:pPr>
      <w:r>
        <w:t>Together, these lenses frame the central trade-off: equity buys access to scarce resources at the cost of agency drag and dilution; bootstrapping preserves control at the cost of growth velocity and resource access. The SFDF makes this trade-off legible to founders by structuring the decision around fifteen contextual factors grounded in the empirical literature.</w:t>
      </w:r>
    </w:p>
    <w:p w14:paraId="1E75C676" w14:textId="77777777" w:rsidR="0061784F" w:rsidRDefault="00000000">
      <w:pPr>
        <w:spacing w:after="120" w:line="300" w:lineRule="auto"/>
      </w:pPr>
      <w:r>
        <w:rPr>
          <w:b/>
          <w:bCs/>
        </w:rPr>
        <w:t xml:space="preserve">Important framing note: </w:t>
      </w:r>
      <w:r>
        <w:rPr>
          <w:i/>
          <w:iCs/>
        </w:rPr>
        <w:t>The SFDF is a directional decision-support tool, not a prescriptive algorithm. It produces a recommended zone, not a verdict. The output is intended to surface tensions and trade-offs the founder should reason through, ideally with an advisor.</w:t>
      </w:r>
    </w:p>
    <w:p w14:paraId="274B65ED" w14:textId="77777777" w:rsidR="0061784F" w:rsidRDefault="00000000">
      <w:pPr>
        <w:pStyle w:val="Heading1"/>
      </w:pPr>
      <w:r>
        <w:t>2. Framework Structure</w:t>
      </w:r>
    </w:p>
    <w:p w14:paraId="1291EC66" w14:textId="77777777" w:rsidR="0061784F" w:rsidRDefault="00000000">
      <w:pPr>
        <w:spacing w:after="120" w:line="300" w:lineRule="auto"/>
      </w:pPr>
      <w:r>
        <w:t>The SFDF has four layers, each described in detail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61784F" w14:paraId="73F15287" w14:textId="77777777">
        <w:tblPrEx>
          <w:tblCellMar>
            <w:top w:w="0" w:type="dxa"/>
            <w:bottom w:w="0" w:type="dxa"/>
          </w:tblCellMar>
        </w:tblPrEx>
        <w:tc>
          <w:tcPr>
            <w:tcW w:w="12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0326BA7C" w14:textId="77777777" w:rsidR="0061784F" w:rsidRDefault="00000000">
            <w:pPr>
              <w:jc w:val="center"/>
            </w:pPr>
            <w:r>
              <w:rPr>
                <w:b/>
                <w:bCs/>
                <w:color w:val="FFFFFF"/>
                <w:sz w:val="18"/>
                <w:szCs w:val="18"/>
              </w:rPr>
              <w:t>Layer</w:t>
            </w:r>
          </w:p>
        </w:tc>
        <w:tc>
          <w:tcPr>
            <w:tcW w:w="24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FCCC7B6" w14:textId="77777777" w:rsidR="0061784F" w:rsidRDefault="00000000">
            <w:pPr>
              <w:jc w:val="center"/>
            </w:pPr>
            <w:r>
              <w:rPr>
                <w:b/>
                <w:bCs/>
                <w:color w:val="FFFFFF"/>
                <w:sz w:val="18"/>
                <w:szCs w:val="18"/>
              </w:rPr>
              <w:t>What it does</w:t>
            </w:r>
          </w:p>
        </w:tc>
        <w:tc>
          <w:tcPr>
            <w:tcW w:w="576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6E1698D0" w14:textId="77777777" w:rsidR="0061784F" w:rsidRDefault="00000000">
            <w:pPr>
              <w:jc w:val="center"/>
            </w:pPr>
            <w:r>
              <w:rPr>
                <w:b/>
                <w:bCs/>
                <w:color w:val="FFFFFF"/>
                <w:sz w:val="18"/>
                <w:szCs w:val="18"/>
              </w:rPr>
              <w:t>Key reference / output</w:t>
            </w:r>
          </w:p>
        </w:tc>
      </w:tr>
      <w:tr w:rsidR="0061784F" w14:paraId="1F1BD8F1" w14:textId="77777777">
        <w:tblPrEx>
          <w:tblCellMar>
            <w:top w:w="0" w:type="dxa"/>
            <w:bottom w:w="0" w:type="dxa"/>
          </w:tblCellMar>
        </w:tblPrEx>
        <w:tc>
          <w:tcPr>
            <w:tcW w:w="1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BF805B3" w14:textId="77777777" w:rsidR="0061784F" w:rsidRDefault="00000000">
            <w:r>
              <w:rPr>
                <w:sz w:val="18"/>
                <w:szCs w:val="18"/>
              </w:rPr>
              <w:t>Layer 1</w:t>
            </w:r>
          </w:p>
        </w:tc>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4FF52DC" w14:textId="77777777" w:rsidR="0061784F" w:rsidRDefault="00000000">
            <w:r>
              <w:rPr>
                <w:sz w:val="18"/>
                <w:szCs w:val="18"/>
              </w:rPr>
              <w:t>Contextual Factors (inputs)</w:t>
            </w:r>
          </w:p>
        </w:tc>
        <w:tc>
          <w:tcPr>
            <w:tcW w:w="57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21A898E" w14:textId="77777777" w:rsidR="0061784F" w:rsidRDefault="00000000">
            <w:r>
              <w:rPr>
                <w:sz w:val="18"/>
                <w:szCs w:val="18"/>
              </w:rPr>
              <w:t>15 factors across four dimensions, each grounded in the SLR</w:t>
            </w:r>
          </w:p>
        </w:tc>
      </w:tr>
      <w:tr w:rsidR="0061784F" w14:paraId="52D9DA44" w14:textId="77777777">
        <w:tblPrEx>
          <w:tblCellMar>
            <w:top w:w="0" w:type="dxa"/>
            <w:bottom w:w="0" w:type="dxa"/>
          </w:tblCellMar>
        </w:tblPrEx>
        <w:tc>
          <w:tcPr>
            <w:tcW w:w="1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A5E4C8D" w14:textId="77777777" w:rsidR="0061784F" w:rsidRDefault="00000000">
            <w:r>
              <w:rPr>
                <w:sz w:val="18"/>
                <w:szCs w:val="18"/>
              </w:rPr>
              <w:t>Layer 2</w:t>
            </w:r>
          </w:p>
        </w:tc>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EAB7D23" w14:textId="77777777" w:rsidR="0061784F" w:rsidRDefault="00000000">
            <w:r>
              <w:rPr>
                <w:sz w:val="18"/>
                <w:szCs w:val="18"/>
              </w:rPr>
              <w:t>Scoring Mechanism</w:t>
            </w:r>
          </w:p>
        </w:tc>
        <w:tc>
          <w:tcPr>
            <w:tcW w:w="57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3EC7F3A" w14:textId="77777777" w:rsidR="0061784F" w:rsidRDefault="00000000">
            <w:r>
              <w:rPr>
                <w:sz w:val="18"/>
                <w:szCs w:val="18"/>
              </w:rPr>
              <w:t>1–5 Likert score per factor → weighted B/E pull</w:t>
            </w:r>
          </w:p>
        </w:tc>
      </w:tr>
      <w:tr w:rsidR="0061784F" w14:paraId="39E26392" w14:textId="77777777">
        <w:tblPrEx>
          <w:tblCellMar>
            <w:top w:w="0" w:type="dxa"/>
            <w:bottom w:w="0" w:type="dxa"/>
          </w:tblCellMar>
        </w:tblPrEx>
        <w:tc>
          <w:tcPr>
            <w:tcW w:w="1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A9748D5" w14:textId="77777777" w:rsidR="0061784F" w:rsidRDefault="00000000">
            <w:r>
              <w:rPr>
                <w:sz w:val="18"/>
                <w:szCs w:val="18"/>
              </w:rPr>
              <w:t>Layer 3</w:t>
            </w:r>
          </w:p>
        </w:tc>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8D1DCF5" w14:textId="77777777" w:rsidR="0061784F" w:rsidRDefault="00000000">
            <w:r>
              <w:rPr>
                <w:sz w:val="18"/>
                <w:szCs w:val="18"/>
              </w:rPr>
              <w:t>Decision Logic</w:t>
            </w:r>
          </w:p>
        </w:tc>
        <w:tc>
          <w:tcPr>
            <w:tcW w:w="57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6168B14" w14:textId="77777777" w:rsidR="0061784F" w:rsidRDefault="00000000">
            <w:r>
              <w:rPr>
                <w:sz w:val="18"/>
                <w:szCs w:val="18"/>
              </w:rPr>
              <w:t>Maps total score to one of four recommendation zones</w:t>
            </w:r>
          </w:p>
        </w:tc>
      </w:tr>
      <w:tr w:rsidR="0061784F" w14:paraId="0291D134" w14:textId="77777777">
        <w:tblPrEx>
          <w:tblCellMar>
            <w:top w:w="0" w:type="dxa"/>
            <w:bottom w:w="0" w:type="dxa"/>
          </w:tblCellMar>
        </w:tblPrEx>
        <w:tc>
          <w:tcPr>
            <w:tcW w:w="1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D12A1B2" w14:textId="77777777" w:rsidR="0061784F" w:rsidRDefault="00000000">
            <w:r>
              <w:rPr>
                <w:sz w:val="18"/>
                <w:szCs w:val="18"/>
              </w:rPr>
              <w:lastRenderedPageBreak/>
              <w:t>Layer 4</w:t>
            </w:r>
          </w:p>
        </w:tc>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ED1F259" w14:textId="77777777" w:rsidR="0061784F" w:rsidRDefault="00000000">
            <w:r>
              <w:rPr>
                <w:sz w:val="18"/>
                <w:szCs w:val="18"/>
              </w:rPr>
              <w:t>Decision Brief (output)</w:t>
            </w:r>
          </w:p>
        </w:tc>
        <w:tc>
          <w:tcPr>
            <w:tcW w:w="57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74AFB27" w14:textId="77777777" w:rsidR="0061784F" w:rsidRDefault="00000000">
            <w:r>
              <w:rPr>
                <w:sz w:val="18"/>
                <w:szCs w:val="18"/>
              </w:rPr>
              <w:t>One-page summary: zone, drivers, watch-outs, suggested next actions</w:t>
            </w:r>
          </w:p>
        </w:tc>
      </w:tr>
    </w:tbl>
    <w:p w14:paraId="2F1356B0" w14:textId="77777777" w:rsidR="0061784F" w:rsidRDefault="00000000">
      <w:r>
        <w:br w:type="page"/>
      </w:r>
    </w:p>
    <w:p w14:paraId="13F16A85" w14:textId="77777777" w:rsidR="0061784F" w:rsidRDefault="00000000">
      <w:pPr>
        <w:pStyle w:val="Heading1"/>
      </w:pPr>
      <w:r>
        <w:lastRenderedPageBreak/>
        <w:t>3. Layer 1 — Contextual Factors</w:t>
      </w:r>
    </w:p>
    <w:p w14:paraId="2F902CDC" w14:textId="77777777" w:rsidR="0061784F" w:rsidRDefault="00000000">
      <w:pPr>
        <w:spacing w:after="120" w:line="300" w:lineRule="auto"/>
      </w:pPr>
      <w:r>
        <w:t>Fifteen factors are organised into four dimensions: Founder &amp; Team, Venture, Market, and Strategic. Each factor is operationalised on a 1–5 Likert scale and tagged to a literature anchor. The direction of the score's contribution (Bootstrapping-favourable "B" or Equity-favourable "E") is fixed by theory; the magnitude is set by the founder's self-assessment.</w:t>
      </w:r>
    </w:p>
    <w:p w14:paraId="4915C4C5" w14:textId="77777777" w:rsidR="0061784F" w:rsidRDefault="00000000">
      <w:pPr>
        <w:pStyle w:val="Heading2"/>
      </w:pPr>
      <w:r>
        <w:t>3.1 Dimension A — Founder &amp; Team (4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2152"/>
        <w:gridCol w:w="1489"/>
        <w:gridCol w:w="2752"/>
        <w:gridCol w:w="1295"/>
        <w:gridCol w:w="1125"/>
      </w:tblGrid>
      <w:tr w:rsidR="0061784F" w14:paraId="6EA69685"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632A9307" w14:textId="77777777" w:rsidR="0061784F" w:rsidRDefault="00000000">
            <w:pPr>
              <w:jc w:val="center"/>
            </w:pPr>
            <w:r>
              <w:rPr>
                <w:b/>
                <w:bCs/>
                <w:color w:val="FFFFFF"/>
                <w:sz w:val="18"/>
                <w:szCs w:val="18"/>
              </w:rPr>
              <w:t>#</w:t>
            </w:r>
          </w:p>
        </w:tc>
        <w:tc>
          <w:tcPr>
            <w:tcW w:w="22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3576F19" w14:textId="77777777" w:rsidR="0061784F" w:rsidRDefault="00000000">
            <w:pPr>
              <w:jc w:val="center"/>
            </w:pPr>
            <w:r>
              <w:rPr>
                <w:b/>
                <w:bCs/>
                <w:color w:val="FFFFFF"/>
                <w:sz w:val="18"/>
                <w:szCs w:val="18"/>
              </w:rPr>
              <w:t>Factor</w:t>
            </w:r>
          </w:p>
        </w:tc>
        <w:tc>
          <w:tcPr>
            <w:tcW w:w="15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C4E0013" w14:textId="77777777" w:rsidR="0061784F" w:rsidRDefault="00000000">
            <w:pPr>
              <w:jc w:val="center"/>
            </w:pPr>
            <w:r>
              <w:rPr>
                <w:b/>
                <w:bCs/>
                <w:color w:val="FFFFFF"/>
                <w:sz w:val="18"/>
                <w:szCs w:val="18"/>
              </w:rPr>
              <w:t>Scale (1 → 5)</w:t>
            </w:r>
          </w:p>
        </w:tc>
        <w:tc>
          <w:tcPr>
            <w:tcW w:w="28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5765CB9E" w14:textId="77777777" w:rsidR="0061784F" w:rsidRDefault="00000000">
            <w:pPr>
              <w:jc w:val="center"/>
            </w:pPr>
            <w:r>
              <w:rPr>
                <w:b/>
                <w:bCs/>
                <w:color w:val="FFFFFF"/>
                <w:sz w:val="18"/>
                <w:szCs w:val="18"/>
              </w:rPr>
              <w:t>Operationalisation</w:t>
            </w:r>
          </w:p>
        </w:tc>
        <w:tc>
          <w:tcPr>
            <w:tcW w:w="131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74149D5" w14:textId="77777777" w:rsidR="0061784F" w:rsidRDefault="00000000">
            <w:pPr>
              <w:jc w:val="center"/>
            </w:pPr>
            <w:r>
              <w:rPr>
                <w:b/>
                <w:bCs/>
                <w:color w:val="FFFFFF"/>
                <w:sz w:val="18"/>
                <w:szCs w:val="18"/>
              </w:rPr>
              <w:t>Direction</w:t>
            </w:r>
          </w:p>
        </w:tc>
        <w:tc>
          <w:tcPr>
            <w:tcW w:w="10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EBA5DA0" w14:textId="77777777" w:rsidR="0061784F" w:rsidRDefault="00000000">
            <w:pPr>
              <w:jc w:val="center"/>
            </w:pPr>
            <w:r>
              <w:rPr>
                <w:b/>
                <w:bCs/>
                <w:color w:val="FFFFFF"/>
                <w:sz w:val="18"/>
                <w:szCs w:val="18"/>
              </w:rPr>
              <w:t>Anchor</w:t>
            </w:r>
          </w:p>
        </w:tc>
      </w:tr>
      <w:tr w:rsidR="0061784F" w14:paraId="2EB94B91"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7E94C87" w14:textId="77777777" w:rsidR="0061784F" w:rsidRDefault="00000000">
            <w:r>
              <w:rPr>
                <w:sz w:val="18"/>
                <w:szCs w:val="18"/>
              </w:rPr>
              <w:t>A1</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C299337" w14:textId="77777777" w:rsidR="0061784F" w:rsidRDefault="00000000">
            <w:r>
              <w:rPr>
                <w:sz w:val="18"/>
                <w:szCs w:val="18"/>
              </w:rPr>
              <w:t>Risk tolerance</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20152FE" w14:textId="77777777" w:rsidR="0061784F" w:rsidRDefault="00000000">
            <w:r>
              <w:rPr>
                <w:sz w:val="18"/>
                <w:szCs w:val="18"/>
              </w:rPr>
              <w:t>1=very low → 5=very high</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7D97B9F" w14:textId="77777777" w:rsidR="0061784F" w:rsidRDefault="00000000">
            <w:r>
              <w:rPr>
                <w:sz w:val="18"/>
                <w:szCs w:val="18"/>
              </w:rPr>
              <w:t>Founder's psychological and financial willingness to absorb personal risk (savings, opportunity cost, family exposure).</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D682FB9" w14:textId="77777777" w:rsidR="0061784F" w:rsidRDefault="00000000">
            <w:r>
              <w:rPr>
                <w:sz w:val="18"/>
                <w:szCs w:val="18"/>
              </w:rPr>
              <w:t>Higher → B</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0FB9613" w14:textId="77777777" w:rsidR="0061784F" w:rsidRDefault="00000000">
            <w:r>
              <w:rPr>
                <w:sz w:val="18"/>
                <w:szCs w:val="18"/>
              </w:rPr>
              <w:t>Wasserman (2017)</w:t>
            </w:r>
          </w:p>
        </w:tc>
      </w:tr>
      <w:tr w:rsidR="0061784F" w14:paraId="1A17A177"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594CC66" w14:textId="77777777" w:rsidR="0061784F" w:rsidRDefault="00000000">
            <w:r>
              <w:rPr>
                <w:sz w:val="18"/>
                <w:szCs w:val="18"/>
              </w:rPr>
              <w:t>A2</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8722CEA" w14:textId="77777777" w:rsidR="0061784F" w:rsidRDefault="00000000">
            <w:r>
              <w:rPr>
                <w:sz w:val="18"/>
                <w:szCs w:val="18"/>
              </w:rPr>
              <w:t>Control preference</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F31C7E7" w14:textId="77777777" w:rsidR="0061784F" w:rsidRDefault="00000000">
            <w:r>
              <w:rPr>
                <w:sz w:val="18"/>
                <w:szCs w:val="18"/>
              </w:rPr>
              <w:t>1=growth-first → 5=autonomy-first</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3CEB9EA" w14:textId="77777777" w:rsidR="0061784F" w:rsidRDefault="00000000">
            <w:r>
              <w:rPr>
                <w:sz w:val="18"/>
                <w:szCs w:val="18"/>
              </w:rPr>
              <w:t>How strongly the founder values retaining decision rights and avoiding board oversight.</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CBF2D69" w14:textId="77777777" w:rsidR="0061784F" w:rsidRDefault="00000000">
            <w:r>
              <w:rPr>
                <w:sz w:val="18"/>
                <w:szCs w:val="18"/>
              </w:rPr>
              <w:t>Higher → B</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D3DE219" w14:textId="77777777" w:rsidR="0061784F" w:rsidRDefault="00000000">
            <w:r>
              <w:rPr>
                <w:sz w:val="18"/>
                <w:szCs w:val="18"/>
              </w:rPr>
              <w:t>Wasserman (2017); Hellmann &amp; Puri (2002)</w:t>
            </w:r>
          </w:p>
        </w:tc>
      </w:tr>
      <w:tr w:rsidR="0061784F" w14:paraId="3ED44BAF"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79A178B" w14:textId="77777777" w:rsidR="0061784F" w:rsidRDefault="00000000">
            <w:r>
              <w:rPr>
                <w:sz w:val="18"/>
                <w:szCs w:val="18"/>
              </w:rPr>
              <w:t>A3</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D85E3A6" w14:textId="77777777" w:rsidR="0061784F" w:rsidRDefault="00000000">
            <w:r>
              <w:rPr>
                <w:sz w:val="18"/>
                <w:szCs w:val="18"/>
              </w:rPr>
              <w:t>Domain experience</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47B1AF7" w14:textId="77777777" w:rsidR="0061784F" w:rsidRDefault="00000000">
            <w:r>
              <w:rPr>
                <w:sz w:val="18"/>
                <w:szCs w:val="18"/>
              </w:rPr>
              <w:t>1=first-time → 5=multiple prior exits</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1C65064" w14:textId="77777777" w:rsidR="0061784F" w:rsidRDefault="00000000">
            <w:r>
              <w:rPr>
                <w:sz w:val="18"/>
                <w:szCs w:val="18"/>
              </w:rPr>
              <w:t>Founder's prior experience in the target sector, including past startup outcomes.</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007044B" w14:textId="77777777" w:rsidR="0061784F" w:rsidRDefault="00000000">
            <w:r>
              <w:rPr>
                <w:sz w:val="18"/>
                <w:szCs w:val="18"/>
              </w:rPr>
              <w:t>Higher → B</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83C5D4D" w14:textId="77777777" w:rsidR="0061784F" w:rsidRDefault="00000000">
            <w:r>
              <w:rPr>
                <w:sz w:val="18"/>
                <w:szCs w:val="18"/>
              </w:rPr>
              <w:t>Kaplan &amp; Strömberg (2003)</w:t>
            </w:r>
          </w:p>
        </w:tc>
      </w:tr>
      <w:tr w:rsidR="0061784F" w14:paraId="7B7DF6CF"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1684406" w14:textId="77777777" w:rsidR="0061784F" w:rsidRDefault="00000000">
            <w:r>
              <w:rPr>
                <w:sz w:val="18"/>
                <w:szCs w:val="18"/>
              </w:rPr>
              <w:t>A4</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8069703" w14:textId="77777777" w:rsidR="0061784F" w:rsidRDefault="00000000">
            <w:r>
              <w:rPr>
                <w:sz w:val="18"/>
                <w:szCs w:val="18"/>
              </w:rPr>
              <w:t>Personal runway</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FDC1918" w14:textId="77777777" w:rsidR="0061784F" w:rsidRDefault="00000000">
            <w:r>
              <w:rPr>
                <w:sz w:val="18"/>
                <w:szCs w:val="18"/>
              </w:rPr>
              <w:t>1=&lt;3 months → 5=24+ months</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9BB80BC" w14:textId="77777777" w:rsidR="0061784F" w:rsidRDefault="00000000">
            <w:r>
              <w:rPr>
                <w:sz w:val="18"/>
                <w:szCs w:val="18"/>
              </w:rPr>
              <w:t>Months of personal savings or alternative income available without venture revenue.</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946B664" w14:textId="77777777" w:rsidR="0061784F" w:rsidRDefault="00000000">
            <w:r>
              <w:rPr>
                <w:sz w:val="18"/>
                <w:szCs w:val="18"/>
              </w:rPr>
              <w:t>Higher → B</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8CFEB2E" w14:textId="77777777" w:rsidR="0061784F" w:rsidRDefault="00000000">
            <w:r>
              <w:rPr>
                <w:sz w:val="18"/>
                <w:szCs w:val="18"/>
              </w:rPr>
              <w:t>Bhidé (2000); Winborg &amp; Landström (2001)</w:t>
            </w:r>
          </w:p>
        </w:tc>
      </w:tr>
    </w:tbl>
    <w:p w14:paraId="2A725EC2" w14:textId="77777777" w:rsidR="0061784F" w:rsidRDefault="00000000">
      <w:pPr>
        <w:pStyle w:val="Heading2"/>
      </w:pPr>
      <w:r>
        <w:t>3.2 Dimension B — Venture (4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2187"/>
        <w:gridCol w:w="1496"/>
        <w:gridCol w:w="2786"/>
        <w:gridCol w:w="1305"/>
        <w:gridCol w:w="1037"/>
      </w:tblGrid>
      <w:tr w:rsidR="0061784F" w14:paraId="133028B9"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00AA0030" w14:textId="77777777" w:rsidR="0061784F" w:rsidRDefault="00000000">
            <w:pPr>
              <w:jc w:val="center"/>
            </w:pPr>
            <w:r>
              <w:rPr>
                <w:b/>
                <w:bCs/>
                <w:color w:val="FFFFFF"/>
                <w:sz w:val="18"/>
                <w:szCs w:val="18"/>
              </w:rPr>
              <w:t>#</w:t>
            </w:r>
          </w:p>
        </w:tc>
        <w:tc>
          <w:tcPr>
            <w:tcW w:w="22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4D5DE66" w14:textId="77777777" w:rsidR="0061784F" w:rsidRDefault="00000000">
            <w:pPr>
              <w:jc w:val="center"/>
            </w:pPr>
            <w:r>
              <w:rPr>
                <w:b/>
                <w:bCs/>
                <w:color w:val="FFFFFF"/>
                <w:sz w:val="18"/>
                <w:szCs w:val="18"/>
              </w:rPr>
              <w:t>Factor</w:t>
            </w:r>
          </w:p>
        </w:tc>
        <w:tc>
          <w:tcPr>
            <w:tcW w:w="15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6BC1A1EE" w14:textId="77777777" w:rsidR="0061784F" w:rsidRDefault="00000000">
            <w:pPr>
              <w:jc w:val="center"/>
            </w:pPr>
            <w:r>
              <w:rPr>
                <w:b/>
                <w:bCs/>
                <w:color w:val="FFFFFF"/>
                <w:sz w:val="18"/>
                <w:szCs w:val="18"/>
              </w:rPr>
              <w:t>Scale (1 → 5)</w:t>
            </w:r>
          </w:p>
        </w:tc>
        <w:tc>
          <w:tcPr>
            <w:tcW w:w="28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E6E199C" w14:textId="77777777" w:rsidR="0061784F" w:rsidRDefault="00000000">
            <w:pPr>
              <w:jc w:val="center"/>
            </w:pPr>
            <w:r>
              <w:rPr>
                <w:b/>
                <w:bCs/>
                <w:color w:val="FFFFFF"/>
                <w:sz w:val="18"/>
                <w:szCs w:val="18"/>
              </w:rPr>
              <w:t>Operationalisation</w:t>
            </w:r>
          </w:p>
        </w:tc>
        <w:tc>
          <w:tcPr>
            <w:tcW w:w="131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60D97EB7" w14:textId="77777777" w:rsidR="0061784F" w:rsidRDefault="00000000">
            <w:pPr>
              <w:jc w:val="center"/>
            </w:pPr>
            <w:r>
              <w:rPr>
                <w:b/>
                <w:bCs/>
                <w:color w:val="FFFFFF"/>
                <w:sz w:val="18"/>
                <w:szCs w:val="18"/>
              </w:rPr>
              <w:t>Direction</w:t>
            </w:r>
          </w:p>
        </w:tc>
        <w:tc>
          <w:tcPr>
            <w:tcW w:w="10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2DF14DD" w14:textId="77777777" w:rsidR="0061784F" w:rsidRDefault="00000000">
            <w:pPr>
              <w:jc w:val="center"/>
            </w:pPr>
            <w:r>
              <w:rPr>
                <w:b/>
                <w:bCs/>
                <w:color w:val="FFFFFF"/>
                <w:sz w:val="18"/>
                <w:szCs w:val="18"/>
              </w:rPr>
              <w:t>Anchor</w:t>
            </w:r>
          </w:p>
        </w:tc>
      </w:tr>
      <w:tr w:rsidR="0061784F" w14:paraId="11E35927"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996EACB" w14:textId="77777777" w:rsidR="0061784F" w:rsidRDefault="00000000">
            <w:r>
              <w:rPr>
                <w:sz w:val="18"/>
                <w:szCs w:val="18"/>
              </w:rPr>
              <w:t>B1</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DBA4051" w14:textId="77777777" w:rsidR="0061784F" w:rsidRDefault="00000000">
            <w:r>
              <w:rPr>
                <w:sz w:val="18"/>
                <w:szCs w:val="18"/>
              </w:rPr>
              <w:t>Capital intensity</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D4243B6" w14:textId="77777777" w:rsidR="0061784F" w:rsidRDefault="00000000">
            <w:r>
              <w:rPr>
                <w:sz w:val="18"/>
                <w:szCs w:val="18"/>
              </w:rPr>
              <w:t>1=very low → 5=very high</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22C6055" w14:textId="77777777" w:rsidR="0061784F" w:rsidRDefault="00000000">
            <w:r>
              <w:rPr>
                <w:sz w:val="18"/>
                <w:szCs w:val="18"/>
              </w:rPr>
              <w:t>Estimated cumulative capital required to reach product-market fit (servers, hardware, regulatory, clinical trials, etc.).</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B784DBB"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14AE941" w14:textId="77777777" w:rsidR="0061784F" w:rsidRDefault="00000000">
            <w:r>
              <w:rPr>
                <w:sz w:val="18"/>
                <w:szCs w:val="18"/>
              </w:rPr>
              <w:t>Kaplan &amp; Strömberg (2003)</w:t>
            </w:r>
          </w:p>
        </w:tc>
      </w:tr>
      <w:tr w:rsidR="0061784F" w14:paraId="0EFBF4AD"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9DFEE48" w14:textId="77777777" w:rsidR="0061784F" w:rsidRDefault="00000000">
            <w:r>
              <w:rPr>
                <w:sz w:val="18"/>
                <w:szCs w:val="18"/>
              </w:rPr>
              <w:t>B2</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EC51413" w14:textId="77777777" w:rsidR="0061784F" w:rsidRDefault="00000000">
            <w:r>
              <w:rPr>
                <w:sz w:val="18"/>
                <w:szCs w:val="18"/>
              </w:rPr>
              <w:t>Time-to-revenue</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69A00786" w14:textId="77777777" w:rsidR="0061784F" w:rsidRDefault="00000000">
            <w:r>
              <w:rPr>
                <w:sz w:val="18"/>
                <w:szCs w:val="18"/>
              </w:rPr>
              <w:t>1=&lt;3 months → 5=24+ months</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B4D8BCD" w14:textId="77777777" w:rsidR="0061784F" w:rsidRDefault="00000000">
            <w:r>
              <w:rPr>
                <w:sz w:val="18"/>
                <w:szCs w:val="18"/>
              </w:rPr>
              <w:t>Expected time from current state to first paying customer at meaningful volume.</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8F9156F"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6B8149E" w14:textId="77777777" w:rsidR="0061784F" w:rsidRDefault="00000000">
            <w:r>
              <w:rPr>
                <w:sz w:val="18"/>
                <w:szCs w:val="18"/>
              </w:rPr>
              <w:t>Hellmann &amp; Puri (2002)</w:t>
            </w:r>
          </w:p>
        </w:tc>
      </w:tr>
      <w:tr w:rsidR="0061784F" w14:paraId="50AC36E3"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2E64D50" w14:textId="77777777" w:rsidR="0061784F" w:rsidRDefault="00000000">
            <w:r>
              <w:rPr>
                <w:sz w:val="18"/>
                <w:szCs w:val="18"/>
              </w:rPr>
              <w:t>B3</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830E64F" w14:textId="77777777" w:rsidR="0061784F" w:rsidRDefault="00000000">
            <w:r>
              <w:rPr>
                <w:sz w:val="18"/>
                <w:szCs w:val="18"/>
              </w:rPr>
              <w:t>Existing traction</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7001BEC" w14:textId="77777777" w:rsidR="0061784F" w:rsidRDefault="00000000">
            <w:r>
              <w:rPr>
                <w:sz w:val="18"/>
                <w:szCs w:val="18"/>
              </w:rPr>
              <w:t>1=idea only → 5=scaling revenue</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A3C018E" w14:textId="77777777" w:rsidR="0061784F" w:rsidRDefault="00000000">
            <w:r>
              <w:rPr>
                <w:sz w:val="18"/>
                <w:szCs w:val="18"/>
              </w:rPr>
              <w:t>Current evidence of demand: signed LOIs, paying customers, MRR, retention.</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B146FBE" w14:textId="77777777" w:rsidR="0061784F" w:rsidRDefault="00000000">
            <w:r>
              <w:rPr>
                <w:sz w:val="18"/>
                <w:szCs w:val="18"/>
              </w:rPr>
              <w:t>Higher → B</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A0F869E" w14:textId="77777777" w:rsidR="0061784F" w:rsidRDefault="00000000">
            <w:r>
              <w:rPr>
                <w:sz w:val="18"/>
                <w:szCs w:val="18"/>
              </w:rPr>
              <w:t>Kaplan &amp; Strömberg (2003)</w:t>
            </w:r>
          </w:p>
        </w:tc>
      </w:tr>
      <w:tr w:rsidR="0061784F" w14:paraId="79F81215"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9C273FC" w14:textId="77777777" w:rsidR="0061784F" w:rsidRDefault="00000000">
            <w:r>
              <w:rPr>
                <w:sz w:val="18"/>
                <w:szCs w:val="18"/>
              </w:rPr>
              <w:t>B4</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3E87C5D" w14:textId="77777777" w:rsidR="0061784F" w:rsidRDefault="00000000">
            <w:r>
              <w:rPr>
                <w:sz w:val="18"/>
                <w:szCs w:val="18"/>
              </w:rPr>
              <w:t>Defensibility / IP</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8F7D253" w14:textId="77777777" w:rsidR="0061784F" w:rsidRDefault="00000000">
            <w:r>
              <w:rPr>
                <w:sz w:val="18"/>
                <w:szCs w:val="18"/>
              </w:rPr>
              <w:t>1=no moat → 5=strong defensibility</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64CB27C" w14:textId="77777777" w:rsidR="0061784F" w:rsidRDefault="00000000">
            <w:r>
              <w:rPr>
                <w:sz w:val="18"/>
                <w:szCs w:val="18"/>
              </w:rPr>
              <w:t>Patentable technology, regulatory barriers, data moats, network effects.</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768344F"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3AB9ECD" w14:textId="77777777" w:rsidR="0061784F" w:rsidRDefault="00000000">
            <w:r>
              <w:rPr>
                <w:sz w:val="18"/>
                <w:szCs w:val="18"/>
              </w:rPr>
              <w:t>Hellmann &amp; Puri (2002)</w:t>
            </w:r>
          </w:p>
        </w:tc>
      </w:tr>
    </w:tbl>
    <w:p w14:paraId="3CDABA3F" w14:textId="77777777" w:rsidR="0061784F" w:rsidRDefault="00000000">
      <w:pPr>
        <w:pStyle w:val="Heading2"/>
      </w:pPr>
      <w:r>
        <w:t>3.3 Dimension C — Market (3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9"/>
        <w:gridCol w:w="2187"/>
        <w:gridCol w:w="1496"/>
        <w:gridCol w:w="2786"/>
        <w:gridCol w:w="1305"/>
        <w:gridCol w:w="1037"/>
      </w:tblGrid>
      <w:tr w:rsidR="0061784F" w14:paraId="1D263931"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2E27DE13" w14:textId="77777777" w:rsidR="0061784F" w:rsidRDefault="00000000">
            <w:pPr>
              <w:jc w:val="center"/>
            </w:pPr>
            <w:r>
              <w:rPr>
                <w:b/>
                <w:bCs/>
                <w:color w:val="FFFFFF"/>
                <w:sz w:val="18"/>
                <w:szCs w:val="18"/>
              </w:rPr>
              <w:t>#</w:t>
            </w:r>
          </w:p>
        </w:tc>
        <w:tc>
          <w:tcPr>
            <w:tcW w:w="22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4A7F5AEA" w14:textId="77777777" w:rsidR="0061784F" w:rsidRDefault="00000000">
            <w:pPr>
              <w:jc w:val="center"/>
            </w:pPr>
            <w:r>
              <w:rPr>
                <w:b/>
                <w:bCs/>
                <w:color w:val="FFFFFF"/>
                <w:sz w:val="18"/>
                <w:szCs w:val="18"/>
              </w:rPr>
              <w:t>Factor</w:t>
            </w:r>
          </w:p>
        </w:tc>
        <w:tc>
          <w:tcPr>
            <w:tcW w:w="15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2CF9EF3" w14:textId="77777777" w:rsidR="0061784F" w:rsidRDefault="00000000">
            <w:pPr>
              <w:jc w:val="center"/>
            </w:pPr>
            <w:r>
              <w:rPr>
                <w:b/>
                <w:bCs/>
                <w:color w:val="FFFFFF"/>
                <w:sz w:val="18"/>
                <w:szCs w:val="18"/>
              </w:rPr>
              <w:t>Scale (1 → 5)</w:t>
            </w:r>
          </w:p>
        </w:tc>
        <w:tc>
          <w:tcPr>
            <w:tcW w:w="28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42117EE2" w14:textId="77777777" w:rsidR="0061784F" w:rsidRDefault="00000000">
            <w:pPr>
              <w:jc w:val="center"/>
            </w:pPr>
            <w:r>
              <w:rPr>
                <w:b/>
                <w:bCs/>
                <w:color w:val="FFFFFF"/>
                <w:sz w:val="18"/>
                <w:szCs w:val="18"/>
              </w:rPr>
              <w:t>Operationalisation</w:t>
            </w:r>
          </w:p>
        </w:tc>
        <w:tc>
          <w:tcPr>
            <w:tcW w:w="131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343D7D31" w14:textId="77777777" w:rsidR="0061784F" w:rsidRDefault="00000000">
            <w:pPr>
              <w:jc w:val="center"/>
            </w:pPr>
            <w:r>
              <w:rPr>
                <w:b/>
                <w:bCs/>
                <w:color w:val="FFFFFF"/>
                <w:sz w:val="18"/>
                <w:szCs w:val="18"/>
              </w:rPr>
              <w:t>Direction</w:t>
            </w:r>
          </w:p>
        </w:tc>
        <w:tc>
          <w:tcPr>
            <w:tcW w:w="10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35F89984" w14:textId="77777777" w:rsidR="0061784F" w:rsidRDefault="00000000">
            <w:pPr>
              <w:jc w:val="center"/>
            </w:pPr>
            <w:r>
              <w:rPr>
                <w:b/>
                <w:bCs/>
                <w:color w:val="FFFFFF"/>
                <w:sz w:val="18"/>
                <w:szCs w:val="18"/>
              </w:rPr>
              <w:t>Anchor</w:t>
            </w:r>
          </w:p>
        </w:tc>
      </w:tr>
      <w:tr w:rsidR="0061784F" w14:paraId="5370EE99"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E6CD747" w14:textId="77777777" w:rsidR="0061784F" w:rsidRDefault="00000000">
            <w:r>
              <w:rPr>
                <w:sz w:val="18"/>
                <w:szCs w:val="18"/>
              </w:rPr>
              <w:lastRenderedPageBreak/>
              <w:t>C1</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08BADC4" w14:textId="77777777" w:rsidR="0061784F" w:rsidRDefault="00000000">
            <w:r>
              <w:rPr>
                <w:sz w:val="18"/>
                <w:szCs w:val="18"/>
              </w:rPr>
              <w:t>Market timing pressure</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995EC0D" w14:textId="77777777" w:rsidR="0061784F" w:rsidRDefault="00000000">
            <w:r>
              <w:rPr>
                <w:sz w:val="18"/>
                <w:szCs w:val="18"/>
              </w:rPr>
              <w:t>1=patient market → 5=winner-takes-most</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78DA33C" w14:textId="77777777" w:rsidR="0061784F" w:rsidRDefault="00000000">
            <w:r>
              <w:rPr>
                <w:sz w:val="18"/>
                <w:szCs w:val="18"/>
              </w:rPr>
              <w:t>How quickly market position must be established before competitors lock it in.</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FBC1FF2"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F225704" w14:textId="77777777" w:rsidR="0061784F" w:rsidRDefault="00000000">
            <w:r>
              <w:rPr>
                <w:sz w:val="18"/>
                <w:szCs w:val="18"/>
              </w:rPr>
              <w:t>Hellmann &amp; Puri (2002)</w:t>
            </w:r>
          </w:p>
        </w:tc>
      </w:tr>
      <w:tr w:rsidR="0061784F" w14:paraId="3738C416"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E7E3BA0" w14:textId="77777777" w:rsidR="0061784F" w:rsidRDefault="00000000">
            <w:r>
              <w:rPr>
                <w:sz w:val="18"/>
                <w:szCs w:val="18"/>
              </w:rPr>
              <w:t>C2</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BC22D03" w14:textId="77777777" w:rsidR="0061784F" w:rsidRDefault="00000000">
            <w:r>
              <w:rPr>
                <w:sz w:val="18"/>
                <w:szCs w:val="18"/>
              </w:rPr>
              <w:t>Competitive density</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345954C" w14:textId="77777777" w:rsidR="0061784F" w:rsidRDefault="00000000">
            <w:r>
              <w:rPr>
                <w:sz w:val="18"/>
                <w:szCs w:val="18"/>
              </w:rPr>
              <w:t>1=greenfield → 5=heavily contested</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F7D49D8" w14:textId="77777777" w:rsidR="0061784F" w:rsidRDefault="00000000">
            <w:r>
              <w:rPr>
                <w:sz w:val="18"/>
                <w:szCs w:val="18"/>
              </w:rPr>
              <w:t>Number and capitalisation of direct competitors.</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486B704"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F27DC3B" w14:textId="77777777" w:rsidR="0061784F" w:rsidRDefault="00000000">
            <w:r>
              <w:rPr>
                <w:sz w:val="18"/>
                <w:szCs w:val="18"/>
              </w:rPr>
              <w:t>Kaplan &amp; Strömberg (2003)</w:t>
            </w:r>
          </w:p>
        </w:tc>
      </w:tr>
      <w:tr w:rsidR="0061784F" w14:paraId="0FEA5479"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7C75530" w14:textId="77777777" w:rsidR="0061784F" w:rsidRDefault="00000000">
            <w:r>
              <w:rPr>
                <w:sz w:val="18"/>
                <w:szCs w:val="18"/>
              </w:rPr>
              <w:t>C3</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51BDA11" w14:textId="77777777" w:rsidR="0061784F" w:rsidRDefault="00000000">
            <w:r>
              <w:rPr>
                <w:sz w:val="18"/>
                <w:szCs w:val="18"/>
              </w:rPr>
              <w:t>Customer acquisition cost trajectory</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889B0E5" w14:textId="77777777" w:rsidR="0061784F" w:rsidRDefault="00000000">
            <w:r>
              <w:rPr>
                <w:sz w:val="18"/>
                <w:szCs w:val="18"/>
              </w:rPr>
              <w:t>1=organic / low CAC → 5=paid / high CAC</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553F830" w14:textId="77777777" w:rsidR="0061784F" w:rsidRDefault="00000000">
            <w:r>
              <w:rPr>
                <w:sz w:val="18"/>
                <w:szCs w:val="18"/>
              </w:rPr>
              <w:t>Reliance on paid acquisition channels; sensitivity to ad-spend.</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1652FB7"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1E456FF" w14:textId="77777777" w:rsidR="0061784F" w:rsidRDefault="00000000">
            <w:r>
              <w:rPr>
                <w:sz w:val="18"/>
                <w:szCs w:val="18"/>
              </w:rPr>
              <w:t>SLR synthesis</w:t>
            </w:r>
          </w:p>
        </w:tc>
      </w:tr>
    </w:tbl>
    <w:p w14:paraId="2BB765A6" w14:textId="77777777" w:rsidR="0061784F" w:rsidRDefault="00000000">
      <w:pPr>
        <w:pStyle w:val="Heading2"/>
      </w:pPr>
      <w:r>
        <w:t>3.4 Dimension D — Strategic (4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
        <w:gridCol w:w="2150"/>
        <w:gridCol w:w="1495"/>
        <w:gridCol w:w="2750"/>
        <w:gridCol w:w="1294"/>
        <w:gridCol w:w="1125"/>
      </w:tblGrid>
      <w:tr w:rsidR="0061784F" w14:paraId="4E0EDEFA"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35C353EB" w14:textId="77777777" w:rsidR="0061784F" w:rsidRDefault="00000000">
            <w:pPr>
              <w:jc w:val="center"/>
            </w:pPr>
            <w:r>
              <w:rPr>
                <w:b/>
                <w:bCs/>
                <w:color w:val="FFFFFF"/>
                <w:sz w:val="18"/>
                <w:szCs w:val="18"/>
              </w:rPr>
              <w:t>#</w:t>
            </w:r>
          </w:p>
        </w:tc>
        <w:tc>
          <w:tcPr>
            <w:tcW w:w="22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21772435" w14:textId="77777777" w:rsidR="0061784F" w:rsidRDefault="00000000">
            <w:pPr>
              <w:jc w:val="center"/>
            </w:pPr>
            <w:r>
              <w:rPr>
                <w:b/>
                <w:bCs/>
                <w:color w:val="FFFFFF"/>
                <w:sz w:val="18"/>
                <w:szCs w:val="18"/>
              </w:rPr>
              <w:t>Factor</w:t>
            </w:r>
          </w:p>
        </w:tc>
        <w:tc>
          <w:tcPr>
            <w:tcW w:w="15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2B4C3D1" w14:textId="77777777" w:rsidR="0061784F" w:rsidRDefault="00000000">
            <w:pPr>
              <w:jc w:val="center"/>
            </w:pPr>
            <w:r>
              <w:rPr>
                <w:b/>
                <w:bCs/>
                <w:color w:val="FFFFFF"/>
                <w:sz w:val="18"/>
                <w:szCs w:val="18"/>
              </w:rPr>
              <w:t>Scale (1 → 5)</w:t>
            </w:r>
          </w:p>
        </w:tc>
        <w:tc>
          <w:tcPr>
            <w:tcW w:w="28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BC91C78" w14:textId="77777777" w:rsidR="0061784F" w:rsidRDefault="00000000">
            <w:pPr>
              <w:jc w:val="center"/>
            </w:pPr>
            <w:r>
              <w:rPr>
                <w:b/>
                <w:bCs/>
                <w:color w:val="FFFFFF"/>
                <w:sz w:val="18"/>
                <w:szCs w:val="18"/>
              </w:rPr>
              <w:t>Operationalisation</w:t>
            </w:r>
          </w:p>
        </w:tc>
        <w:tc>
          <w:tcPr>
            <w:tcW w:w="131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0D55DE85" w14:textId="77777777" w:rsidR="0061784F" w:rsidRDefault="00000000">
            <w:pPr>
              <w:jc w:val="center"/>
            </w:pPr>
            <w:r>
              <w:rPr>
                <w:b/>
                <w:bCs/>
                <w:color w:val="FFFFFF"/>
                <w:sz w:val="18"/>
                <w:szCs w:val="18"/>
              </w:rPr>
              <w:t>Direction</w:t>
            </w:r>
          </w:p>
        </w:tc>
        <w:tc>
          <w:tcPr>
            <w:tcW w:w="10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32464D43" w14:textId="77777777" w:rsidR="0061784F" w:rsidRDefault="00000000">
            <w:pPr>
              <w:jc w:val="center"/>
            </w:pPr>
            <w:r>
              <w:rPr>
                <w:b/>
                <w:bCs/>
                <w:color w:val="FFFFFF"/>
                <w:sz w:val="18"/>
                <w:szCs w:val="18"/>
              </w:rPr>
              <w:t>Anchor</w:t>
            </w:r>
          </w:p>
        </w:tc>
      </w:tr>
      <w:tr w:rsidR="0061784F" w14:paraId="55E1C5CC"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B8CFC48" w14:textId="77777777" w:rsidR="0061784F" w:rsidRDefault="00000000">
            <w:r>
              <w:rPr>
                <w:sz w:val="18"/>
                <w:szCs w:val="18"/>
              </w:rPr>
              <w:t>D1</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AB7195E" w14:textId="77777777" w:rsidR="0061784F" w:rsidRDefault="00000000">
            <w:r>
              <w:rPr>
                <w:sz w:val="18"/>
                <w:szCs w:val="18"/>
              </w:rPr>
              <w:t>Exit horizon</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D55025E" w14:textId="77777777" w:rsidR="0061784F" w:rsidRDefault="00000000">
            <w:r>
              <w:rPr>
                <w:sz w:val="18"/>
                <w:szCs w:val="18"/>
              </w:rPr>
              <w:t>1=long/no exit → 5=fast exit (3–5 yrs)</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148941D" w14:textId="77777777" w:rsidR="0061784F" w:rsidRDefault="00000000">
            <w:r>
              <w:rPr>
                <w:sz w:val="18"/>
                <w:szCs w:val="18"/>
              </w:rPr>
              <w:t>Founder's intended liquidity timeline.</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866C658"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9D40571" w14:textId="77777777" w:rsidR="0061784F" w:rsidRDefault="00000000">
            <w:r>
              <w:rPr>
                <w:sz w:val="18"/>
                <w:szCs w:val="18"/>
              </w:rPr>
              <w:t>Wasserman (2017)</w:t>
            </w:r>
          </w:p>
        </w:tc>
      </w:tr>
      <w:tr w:rsidR="0061784F" w14:paraId="46E5BE34"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16E05CA" w14:textId="77777777" w:rsidR="0061784F" w:rsidRDefault="00000000">
            <w:r>
              <w:rPr>
                <w:sz w:val="18"/>
                <w:szCs w:val="18"/>
              </w:rPr>
              <w:t>D2</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4E0F8B1" w14:textId="77777777" w:rsidR="0061784F" w:rsidRDefault="00000000">
            <w:r>
              <w:rPr>
                <w:sz w:val="18"/>
                <w:szCs w:val="18"/>
              </w:rPr>
              <w:t>Growth ambition</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5B15DC4" w14:textId="77777777" w:rsidR="0061784F" w:rsidRDefault="00000000">
            <w:r>
              <w:rPr>
                <w:sz w:val="18"/>
                <w:szCs w:val="18"/>
              </w:rPr>
              <w:t>1=lifestyle → 5=hypergrowth</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066FC46" w14:textId="77777777" w:rsidR="0061784F" w:rsidRDefault="00000000">
            <w:r>
              <w:rPr>
                <w:sz w:val="18"/>
                <w:szCs w:val="18"/>
              </w:rPr>
              <w:t>Target scale: profitable small business vs. category-defining venture.</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9E8DBA0"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53E6CEF" w14:textId="77777777" w:rsidR="0061784F" w:rsidRDefault="00000000">
            <w:r>
              <w:rPr>
                <w:sz w:val="18"/>
                <w:szCs w:val="18"/>
              </w:rPr>
              <w:t>Wasserman (2017)</w:t>
            </w:r>
          </w:p>
        </w:tc>
      </w:tr>
      <w:tr w:rsidR="0061784F" w14:paraId="5D8AA43E"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6BE9F43" w14:textId="77777777" w:rsidR="0061784F" w:rsidRDefault="00000000">
            <w:r>
              <w:rPr>
                <w:sz w:val="18"/>
                <w:szCs w:val="18"/>
              </w:rPr>
              <w:t>D3</w:t>
            </w:r>
          </w:p>
        </w:tc>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9F0CD65" w14:textId="77777777" w:rsidR="0061784F" w:rsidRDefault="00000000">
            <w:r>
              <w:rPr>
                <w:sz w:val="18"/>
                <w:szCs w:val="18"/>
              </w:rPr>
              <w:t>Need for VC value-add</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6045F80" w14:textId="77777777" w:rsidR="0061784F" w:rsidRDefault="00000000">
            <w:r>
              <w:rPr>
                <w:sz w:val="18"/>
                <w:szCs w:val="18"/>
              </w:rPr>
              <w:t>1=capital not needed → 5=critical for hires/network</w:t>
            </w:r>
          </w:p>
        </w:tc>
        <w:tc>
          <w:tcPr>
            <w:tcW w:w="28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0D09A1A" w14:textId="77777777" w:rsidR="0061784F" w:rsidRDefault="00000000">
            <w:r>
              <w:rPr>
                <w:sz w:val="18"/>
                <w:szCs w:val="18"/>
              </w:rPr>
              <w:t>Beyond cash, how much the venture needs investor networks, hiring help, governance, signaling.</w:t>
            </w:r>
          </w:p>
        </w:tc>
        <w:tc>
          <w:tcPr>
            <w:tcW w:w="131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DB4A0CC" w14:textId="77777777" w:rsidR="0061784F" w:rsidRDefault="00000000">
            <w:r>
              <w:rPr>
                <w:sz w:val="18"/>
                <w:szCs w:val="18"/>
              </w:rPr>
              <w:t>Higher → E</w:t>
            </w:r>
          </w:p>
        </w:tc>
        <w:tc>
          <w:tcPr>
            <w:tcW w:w="1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589ABA5" w14:textId="77777777" w:rsidR="0061784F" w:rsidRDefault="00000000">
            <w:r>
              <w:rPr>
                <w:sz w:val="18"/>
                <w:szCs w:val="18"/>
              </w:rPr>
              <w:t>Hellmann &amp; Puri (2002)</w:t>
            </w:r>
          </w:p>
        </w:tc>
      </w:tr>
      <w:tr w:rsidR="0061784F" w14:paraId="5D9B84BB" w14:textId="77777777">
        <w:tblPrEx>
          <w:tblCellMar>
            <w:top w:w="0" w:type="dxa"/>
            <w:bottom w:w="0" w:type="dxa"/>
          </w:tblCellMar>
        </w:tblPrEx>
        <w:tc>
          <w:tcPr>
            <w:tcW w:w="55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ACBCD6B" w14:textId="77777777" w:rsidR="0061784F" w:rsidRDefault="00000000">
            <w:r>
              <w:rPr>
                <w:sz w:val="18"/>
                <w:szCs w:val="18"/>
              </w:rPr>
              <w:t>D4</w:t>
            </w:r>
          </w:p>
        </w:tc>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6794551D" w14:textId="77777777" w:rsidR="0061784F" w:rsidRDefault="00000000">
            <w:r>
              <w:rPr>
                <w:sz w:val="18"/>
                <w:szCs w:val="18"/>
              </w:rPr>
              <w:t>Optionality preference</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092322C" w14:textId="77777777" w:rsidR="0061784F" w:rsidRDefault="00000000">
            <w:r>
              <w:rPr>
                <w:sz w:val="18"/>
                <w:szCs w:val="18"/>
              </w:rPr>
              <w:t>1=commit to one path → 5=preserve future options</w:t>
            </w:r>
          </w:p>
        </w:tc>
        <w:tc>
          <w:tcPr>
            <w:tcW w:w="28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39B8665" w14:textId="77777777" w:rsidR="0061784F" w:rsidRDefault="00000000">
            <w:r>
              <w:rPr>
                <w:sz w:val="18"/>
                <w:szCs w:val="18"/>
              </w:rPr>
              <w:t>Strategic preference for keeping flexibility (e.g., bootstrap then raise later, or stage funding).</w:t>
            </w:r>
          </w:p>
        </w:tc>
        <w:tc>
          <w:tcPr>
            <w:tcW w:w="131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07FA450" w14:textId="77777777" w:rsidR="0061784F" w:rsidRDefault="00000000">
            <w:r>
              <w:rPr>
                <w:sz w:val="18"/>
                <w:szCs w:val="18"/>
              </w:rPr>
              <w:t>Higher → B</w:t>
            </w:r>
          </w:p>
        </w:tc>
        <w:tc>
          <w:tcPr>
            <w:tcW w:w="1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BCF5FCF" w14:textId="77777777" w:rsidR="0061784F" w:rsidRDefault="00000000">
            <w:r>
              <w:rPr>
                <w:sz w:val="18"/>
                <w:szCs w:val="18"/>
              </w:rPr>
              <w:t>Winborg &amp; Landström (2001)</w:t>
            </w:r>
          </w:p>
        </w:tc>
      </w:tr>
    </w:tbl>
    <w:p w14:paraId="323FCF6E" w14:textId="77777777" w:rsidR="0061784F" w:rsidRDefault="00000000">
      <w:r>
        <w:br w:type="page"/>
      </w:r>
    </w:p>
    <w:p w14:paraId="55056C1A" w14:textId="77777777" w:rsidR="0061784F" w:rsidRDefault="00000000">
      <w:pPr>
        <w:pStyle w:val="Heading1"/>
      </w:pPr>
      <w:r>
        <w:lastRenderedPageBreak/>
        <w:t>4. Layer 2 — Scoring Mechanism</w:t>
      </w:r>
    </w:p>
    <w:p w14:paraId="4C1103AD" w14:textId="77777777" w:rsidR="0061784F" w:rsidRDefault="00000000">
      <w:pPr>
        <w:spacing w:after="120" w:line="300" w:lineRule="auto"/>
      </w:pPr>
      <w:r>
        <w:t>The SFDF uses a transparent, weight-based scoring mechanism. Each factor receives a 1–5 score from the founder; that raw score is converted into a directional contribution and aggregated.</w:t>
      </w:r>
    </w:p>
    <w:p w14:paraId="43C6E2B5" w14:textId="77777777" w:rsidR="0061784F" w:rsidRDefault="00000000">
      <w:pPr>
        <w:pStyle w:val="Heading2"/>
      </w:pPr>
      <w:r>
        <w:t>4.1 Conversion rule</w:t>
      </w:r>
    </w:p>
    <w:p w14:paraId="3FF411F2" w14:textId="77777777" w:rsidR="0061784F" w:rsidRDefault="00000000">
      <w:pPr>
        <w:spacing w:after="120" w:line="300" w:lineRule="auto"/>
      </w:pPr>
      <w:r>
        <w:t>Each factor's raw score is converted to a centered value:</w:t>
      </w:r>
    </w:p>
    <w:p w14:paraId="116142BD" w14:textId="77777777" w:rsidR="0061784F" w:rsidRDefault="00000000">
      <w:pPr>
        <w:spacing w:after="120" w:line="300" w:lineRule="auto"/>
      </w:pPr>
      <w:r>
        <w:rPr>
          <w:b/>
          <w:bCs/>
        </w:rPr>
        <w:t>Centered = Raw − 3</w:t>
      </w:r>
      <w:r>
        <w:t xml:space="preserve">    (so a 1 contributes −2, a 3 contributes 0, a 5 contributes +2)</w:t>
      </w:r>
    </w:p>
    <w:p w14:paraId="5B4A0D9F" w14:textId="77777777" w:rsidR="0061784F" w:rsidRDefault="00000000">
      <w:pPr>
        <w:spacing w:after="120" w:line="300" w:lineRule="auto"/>
      </w:pPr>
      <w:r>
        <w:t>If the factor's direction is "Higher → E" (Equity-favourable), the centered value is added to the Equity pull. If the direction is "Higher → B" (Bootstrap-favourable), the centered value is added to the Bootstrap pull. A score of 3 on any factor is neutral and contributes nothing.</w:t>
      </w:r>
    </w:p>
    <w:p w14:paraId="42F9791C" w14:textId="77777777" w:rsidR="0061784F" w:rsidRDefault="00000000">
      <w:pPr>
        <w:pStyle w:val="Heading2"/>
      </w:pPr>
      <w:r>
        <w:t>4.2 Weights</w:t>
      </w:r>
    </w:p>
    <w:p w14:paraId="77A7F3AC" w14:textId="77777777" w:rsidR="0061784F" w:rsidRDefault="00000000">
      <w:pPr>
        <w:spacing w:after="120" w:line="300" w:lineRule="auto"/>
      </w:pPr>
      <w:r>
        <w:t>The four dimensions are weighted to reflect their evidentiary strength in the SLR. Weights sum to 1.00 and were derived from the relative depth of empirical support across the literature.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460"/>
      </w:tblGrid>
      <w:tr w:rsidR="0061784F" w14:paraId="36EFA301"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013BF8C9" w14:textId="77777777" w:rsidR="0061784F" w:rsidRDefault="00000000">
            <w:pPr>
              <w:jc w:val="center"/>
            </w:pPr>
            <w:r>
              <w:rPr>
                <w:b/>
                <w:bCs/>
                <w:color w:val="FFFFFF"/>
                <w:sz w:val="18"/>
                <w:szCs w:val="18"/>
              </w:rPr>
              <w:t>Dimension</w:t>
            </w:r>
          </w:p>
        </w:tc>
        <w:tc>
          <w:tcPr>
            <w:tcW w:w="15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74C3EEB0" w14:textId="77777777" w:rsidR="0061784F" w:rsidRDefault="00000000">
            <w:pPr>
              <w:jc w:val="center"/>
            </w:pPr>
            <w:r>
              <w:rPr>
                <w:b/>
                <w:bCs/>
                <w:color w:val="FFFFFF"/>
                <w:sz w:val="18"/>
                <w:szCs w:val="18"/>
              </w:rPr>
              <w:t>Weight</w:t>
            </w:r>
          </w:p>
        </w:tc>
        <w:tc>
          <w:tcPr>
            <w:tcW w:w="546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BA8D492" w14:textId="77777777" w:rsidR="0061784F" w:rsidRDefault="00000000">
            <w:pPr>
              <w:jc w:val="center"/>
            </w:pPr>
            <w:r>
              <w:rPr>
                <w:b/>
                <w:bCs/>
                <w:color w:val="FFFFFF"/>
                <w:sz w:val="18"/>
                <w:szCs w:val="18"/>
              </w:rPr>
              <w:t>Justification</w:t>
            </w:r>
          </w:p>
        </w:tc>
      </w:tr>
      <w:tr w:rsidR="0061784F" w14:paraId="32C2B620"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24D3F85" w14:textId="77777777" w:rsidR="0061784F" w:rsidRDefault="00000000">
            <w:r>
              <w:rPr>
                <w:sz w:val="18"/>
                <w:szCs w:val="18"/>
              </w:rPr>
              <w:t>A. Founder &amp; Team</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88AA936" w14:textId="77777777" w:rsidR="0061784F" w:rsidRDefault="00000000">
            <w:r>
              <w:rPr>
                <w:sz w:val="18"/>
                <w:szCs w:val="18"/>
              </w:rPr>
              <w:t>0.25</w:t>
            </w:r>
          </w:p>
        </w:tc>
        <w:tc>
          <w:tcPr>
            <w:tcW w:w="54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A8A3291" w14:textId="77777777" w:rsidR="0061784F" w:rsidRDefault="00000000">
            <w:r>
              <w:rPr>
                <w:sz w:val="18"/>
                <w:szCs w:val="18"/>
              </w:rPr>
              <w:t>Strong empirical base in Wasserman (2017); central to founder choice but not the sole driver.</w:t>
            </w:r>
          </w:p>
        </w:tc>
      </w:tr>
      <w:tr w:rsidR="0061784F" w14:paraId="781D9B14"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2D1AE1B" w14:textId="77777777" w:rsidR="0061784F" w:rsidRDefault="00000000">
            <w:r>
              <w:rPr>
                <w:sz w:val="18"/>
                <w:szCs w:val="18"/>
              </w:rPr>
              <w:t>B. Venture</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11142C2" w14:textId="77777777" w:rsidR="0061784F" w:rsidRDefault="00000000">
            <w:r>
              <w:rPr>
                <w:sz w:val="18"/>
                <w:szCs w:val="18"/>
              </w:rPr>
              <w:t>0.30</w:t>
            </w:r>
          </w:p>
        </w:tc>
        <w:tc>
          <w:tcPr>
            <w:tcW w:w="54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E3AFD8B" w14:textId="77777777" w:rsidR="0061784F" w:rsidRDefault="00000000">
            <w:r>
              <w:rPr>
                <w:sz w:val="18"/>
                <w:szCs w:val="18"/>
              </w:rPr>
              <w:t>Highest weight: capital intensity, traction, and defensibility have the strongest predictive evidence in Kaplan &amp; Strömberg (2003) and Hellmann &amp; Puri (2002).</w:t>
            </w:r>
          </w:p>
        </w:tc>
      </w:tr>
      <w:tr w:rsidR="0061784F" w14:paraId="098A865D"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2D34973" w14:textId="77777777" w:rsidR="0061784F" w:rsidRDefault="00000000">
            <w:r>
              <w:rPr>
                <w:sz w:val="18"/>
                <w:szCs w:val="18"/>
              </w:rPr>
              <w:t>C. Market</w:t>
            </w:r>
          </w:p>
        </w:tc>
        <w:tc>
          <w:tcPr>
            <w:tcW w:w="15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EB58BEF" w14:textId="77777777" w:rsidR="0061784F" w:rsidRDefault="00000000">
            <w:r>
              <w:rPr>
                <w:sz w:val="18"/>
                <w:szCs w:val="18"/>
              </w:rPr>
              <w:t>0.20</w:t>
            </w:r>
          </w:p>
        </w:tc>
        <w:tc>
          <w:tcPr>
            <w:tcW w:w="54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5C60A6B" w14:textId="77777777" w:rsidR="0061784F" w:rsidRDefault="00000000">
            <w:r>
              <w:rPr>
                <w:sz w:val="18"/>
                <w:szCs w:val="18"/>
              </w:rPr>
              <w:t>Important but more contextual; harder to operationalise consistently across sectors.</w:t>
            </w:r>
          </w:p>
        </w:tc>
      </w:tr>
      <w:tr w:rsidR="0061784F" w14:paraId="39626367"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25148F2" w14:textId="77777777" w:rsidR="0061784F" w:rsidRDefault="00000000">
            <w:r>
              <w:rPr>
                <w:sz w:val="18"/>
                <w:szCs w:val="18"/>
              </w:rPr>
              <w:t>D. Strategic</w:t>
            </w:r>
          </w:p>
        </w:tc>
        <w:tc>
          <w:tcPr>
            <w:tcW w:w="15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368375E" w14:textId="77777777" w:rsidR="0061784F" w:rsidRDefault="00000000">
            <w:r>
              <w:rPr>
                <w:sz w:val="18"/>
                <w:szCs w:val="18"/>
              </w:rPr>
              <w:t>0.25</w:t>
            </w:r>
          </w:p>
        </w:tc>
        <w:tc>
          <w:tcPr>
            <w:tcW w:w="54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020E79D" w14:textId="77777777" w:rsidR="0061784F" w:rsidRDefault="00000000">
            <w:r>
              <w:rPr>
                <w:sz w:val="18"/>
                <w:szCs w:val="18"/>
              </w:rPr>
              <w:t>Founder's strategic intent is decisive for the bootstrap/equity choice; well-grounded in Wasserman and Winborg &amp; Landström.</w:t>
            </w:r>
          </w:p>
        </w:tc>
      </w:tr>
    </w:tbl>
    <w:p w14:paraId="0E8C3984" w14:textId="77777777" w:rsidR="0061784F" w:rsidRDefault="00000000">
      <w:pPr>
        <w:pStyle w:val="Heading2"/>
      </w:pPr>
      <w:r>
        <w:t>4.3 Aggregation</w:t>
      </w:r>
    </w:p>
    <w:p w14:paraId="3487414A" w14:textId="77777777" w:rsidR="0061784F" w:rsidRDefault="00000000">
      <w:pPr>
        <w:spacing w:after="120" w:line="300" w:lineRule="auto"/>
      </w:pPr>
      <w:r>
        <w:t>Within each dimension, the factor contributions are averaged. The dimension averages are then combined using the weights above to produce a final B-pull and E-pull, expressed as a single Net Score:</w:t>
      </w:r>
    </w:p>
    <w:p w14:paraId="43E08089" w14:textId="77777777" w:rsidR="0061784F" w:rsidRDefault="00000000">
      <w:pPr>
        <w:spacing w:after="120" w:line="300" w:lineRule="auto"/>
      </w:pPr>
      <w:r>
        <w:rPr>
          <w:b/>
          <w:bCs/>
        </w:rPr>
        <w:t>Net Score = (weighted E-pull) − (weighted B-pull)</w:t>
      </w:r>
    </w:p>
    <w:p w14:paraId="16AFDAA5" w14:textId="77777777" w:rsidR="0061784F" w:rsidRDefault="00000000">
      <w:pPr>
        <w:spacing w:after="120" w:line="300" w:lineRule="auto"/>
      </w:pPr>
      <w:r>
        <w:t>Net Score ranges from approximately −2.0 (Strong Bootstrap) to +2.0 (Strong Equity). The Excel scorer that accompanies this artifact computes all of this automatically.</w:t>
      </w:r>
    </w:p>
    <w:p w14:paraId="73639B5E" w14:textId="77777777" w:rsidR="0061784F" w:rsidRDefault="00000000">
      <w:pPr>
        <w:pStyle w:val="Heading1"/>
      </w:pPr>
      <w:r>
        <w:t>5. Layer 3 — Decision Logic</w:t>
      </w:r>
    </w:p>
    <w:p w14:paraId="4F4C6487" w14:textId="77777777" w:rsidR="0061784F" w:rsidRDefault="00000000">
      <w:pPr>
        <w:spacing w:after="120" w:line="300" w:lineRule="auto"/>
      </w:pPr>
      <w:r>
        <w:t>The Net Score maps to one of four recommendation zones. The thresholds were calibrated through three test cases (described in Annex) and will be revised based on practitioner feedback during validation.</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5560"/>
      </w:tblGrid>
      <w:tr w:rsidR="0061784F" w14:paraId="19D1021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40B960CA" w14:textId="77777777" w:rsidR="0061784F" w:rsidRDefault="00000000">
            <w:pPr>
              <w:jc w:val="center"/>
            </w:pPr>
            <w:r>
              <w:rPr>
                <w:b/>
                <w:bCs/>
                <w:color w:val="FFFFFF"/>
                <w:sz w:val="18"/>
                <w:szCs w:val="18"/>
              </w:rPr>
              <w:lastRenderedPageBreak/>
              <w:t>Zone</w:t>
            </w:r>
          </w:p>
        </w:tc>
        <w:tc>
          <w:tcPr>
            <w:tcW w:w="17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22C305BE" w14:textId="77777777" w:rsidR="0061784F" w:rsidRDefault="00000000">
            <w:pPr>
              <w:jc w:val="center"/>
            </w:pPr>
            <w:r>
              <w:rPr>
                <w:b/>
                <w:bCs/>
                <w:color w:val="FFFFFF"/>
                <w:sz w:val="18"/>
                <w:szCs w:val="18"/>
              </w:rPr>
              <w:t>Net Score</w:t>
            </w:r>
          </w:p>
        </w:tc>
        <w:tc>
          <w:tcPr>
            <w:tcW w:w="556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2EC01421" w14:textId="77777777" w:rsidR="0061784F" w:rsidRDefault="00000000">
            <w:pPr>
              <w:jc w:val="center"/>
            </w:pPr>
            <w:r>
              <w:rPr>
                <w:b/>
                <w:bCs/>
                <w:color w:val="FFFFFF"/>
                <w:sz w:val="18"/>
                <w:szCs w:val="18"/>
              </w:rPr>
              <w:t>Interpretation</w:t>
            </w:r>
          </w:p>
        </w:tc>
      </w:tr>
      <w:tr w:rsidR="0061784F" w14:paraId="58E6A940"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024B015C" w14:textId="77777777" w:rsidR="0061784F" w:rsidRDefault="00000000">
            <w:r>
              <w:rPr>
                <w:sz w:val="18"/>
                <w:szCs w:val="18"/>
              </w:rPr>
              <w:t>Strong Bootstrap</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27FCC57" w14:textId="77777777" w:rsidR="0061784F" w:rsidRDefault="00000000">
            <w:r>
              <w:rPr>
                <w:sz w:val="18"/>
                <w:szCs w:val="18"/>
              </w:rPr>
              <w:t>≤ −1.0</w:t>
            </w:r>
          </w:p>
        </w:tc>
        <w:tc>
          <w:tcPr>
            <w:tcW w:w="55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BCED5A3" w14:textId="77777777" w:rsidR="0061784F" w:rsidRDefault="00000000">
            <w:r>
              <w:rPr>
                <w:sz w:val="18"/>
                <w:szCs w:val="18"/>
              </w:rPr>
              <w:t>Bootstrap with intent. Equity now would over-dilute relative to actual capital need. Prioritise revenue-financing instruments, customer pre-payments, and grants (Winborg &amp; Landström, 2001).</w:t>
            </w:r>
          </w:p>
        </w:tc>
      </w:tr>
      <w:tr w:rsidR="0061784F" w14:paraId="450E9A08"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3F7F0B1" w14:textId="77777777" w:rsidR="0061784F" w:rsidRDefault="00000000">
            <w:r>
              <w:rPr>
                <w:sz w:val="18"/>
                <w:szCs w:val="18"/>
              </w:rPr>
              <w:t>Bootstrap-leaning</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9D9741D" w14:textId="77777777" w:rsidR="0061784F" w:rsidRDefault="00000000">
            <w:r>
              <w:rPr>
                <w:sz w:val="18"/>
                <w:szCs w:val="18"/>
              </w:rPr>
              <w:t>−1.0 to −0.2</w:t>
            </w:r>
          </w:p>
        </w:tc>
        <w:tc>
          <w:tcPr>
            <w:tcW w:w="55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648771F" w14:textId="77777777" w:rsidR="0061784F" w:rsidRDefault="00000000">
            <w:r>
              <w:rPr>
                <w:sz w:val="18"/>
                <w:szCs w:val="18"/>
              </w:rPr>
              <w:t>Bootstrap initially. Design for an option to raise later when traction de-risks the round and improves valuation. Track which Equity-pull factors might shift over the next 12 months.</w:t>
            </w:r>
          </w:p>
        </w:tc>
      </w:tr>
      <w:tr w:rsidR="0061784F" w14:paraId="1992A1FF"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C380078" w14:textId="77777777" w:rsidR="0061784F" w:rsidRDefault="00000000">
            <w:r>
              <w:rPr>
                <w:sz w:val="18"/>
                <w:szCs w:val="18"/>
              </w:rPr>
              <w:t>Equity-leaning</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B76D415" w14:textId="77777777" w:rsidR="0061784F" w:rsidRDefault="00000000">
            <w:r>
              <w:rPr>
                <w:sz w:val="18"/>
                <w:szCs w:val="18"/>
              </w:rPr>
              <w:t>+0.2 to +1.0</w:t>
            </w:r>
          </w:p>
        </w:tc>
        <w:tc>
          <w:tcPr>
            <w:tcW w:w="55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8B31753" w14:textId="77777777" w:rsidR="0061784F" w:rsidRDefault="00000000">
            <w:r>
              <w:rPr>
                <w:sz w:val="18"/>
                <w:szCs w:val="18"/>
              </w:rPr>
              <w:t>Raise, but stage it (pre-seed, then seed). Prioritise investor fit on Hellmann &amp; Puri (2002) value-add criteria (network, hiring, governance) — not just valuation.</w:t>
            </w:r>
          </w:p>
        </w:tc>
      </w:tr>
      <w:tr w:rsidR="0061784F" w14:paraId="670D8D4E" w14:textId="77777777">
        <w:tblPrEx>
          <w:tblCellMar>
            <w:top w:w="0" w:type="dxa"/>
            <w:bottom w:w="0" w:type="dxa"/>
          </w:tblCellMar>
        </w:tblPrEx>
        <w:tc>
          <w:tcPr>
            <w:tcW w:w="22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95D7B1F" w14:textId="77777777" w:rsidR="0061784F" w:rsidRDefault="00000000">
            <w:r>
              <w:rPr>
                <w:sz w:val="18"/>
                <w:szCs w:val="18"/>
              </w:rPr>
              <w:t>Strong Equity</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24912AE" w14:textId="77777777" w:rsidR="0061784F" w:rsidRDefault="00000000">
            <w:r>
              <w:rPr>
                <w:sz w:val="18"/>
                <w:szCs w:val="18"/>
              </w:rPr>
              <w:t>≥ +1.0</w:t>
            </w:r>
          </w:p>
        </w:tc>
        <w:tc>
          <w:tcPr>
            <w:tcW w:w="55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85E5C73" w14:textId="77777777" w:rsidR="0061784F" w:rsidRDefault="00000000">
            <w:r>
              <w:rPr>
                <w:sz w:val="18"/>
                <w:szCs w:val="18"/>
              </w:rPr>
              <w:t>Raise meaningful capital. Capital intensity, market timing, or competitive density makes bootstrapping a strategic liability. Accept dilution as the cost of velocity and resource access.</w:t>
            </w:r>
          </w:p>
        </w:tc>
      </w:tr>
    </w:tbl>
    <w:p w14:paraId="0DF2DEE7" w14:textId="77777777" w:rsidR="0061784F" w:rsidRDefault="00000000">
      <w:pPr>
        <w:spacing w:after="120" w:line="300" w:lineRule="auto"/>
      </w:pPr>
      <w:r>
        <w:t>Net Scores between −0.2 and +0.2 indicate genuine ambiguity — the founder should explicitly model both scenarios with a financial advisor before committing.</w:t>
      </w:r>
    </w:p>
    <w:p w14:paraId="395DF72B" w14:textId="77777777" w:rsidR="0061784F" w:rsidRDefault="00000000">
      <w:r>
        <w:br w:type="page"/>
      </w:r>
    </w:p>
    <w:p w14:paraId="64E00FC0" w14:textId="77777777" w:rsidR="0061784F" w:rsidRDefault="00000000">
      <w:pPr>
        <w:pStyle w:val="Heading1"/>
      </w:pPr>
      <w:r>
        <w:lastRenderedPageBreak/>
        <w:t>6. Layer 4 — Decision Brief (Output)</w:t>
      </w:r>
    </w:p>
    <w:p w14:paraId="02C91E82" w14:textId="77777777" w:rsidR="0061784F" w:rsidRDefault="00000000">
      <w:pPr>
        <w:spacing w:after="120" w:line="300" w:lineRule="auto"/>
      </w:pPr>
      <w:r>
        <w:t>The SFDF's output is not a single recommendation. It is a one-page Decision Brief structured to surface the reasoning behind the recommendation, including the strongest tensions in the founder's situation.</w:t>
      </w:r>
    </w:p>
    <w:p w14:paraId="78A407F6" w14:textId="77777777" w:rsidR="0061784F" w:rsidRDefault="00000000">
      <w:pPr>
        <w:pStyle w:val="Heading2"/>
      </w:pPr>
      <w:r>
        <w:t>6.1 Decision Brief structure</w:t>
      </w:r>
    </w:p>
    <w:p w14:paraId="47D2650D" w14:textId="77777777" w:rsidR="0061784F" w:rsidRDefault="00000000">
      <w:pPr>
        <w:pStyle w:val="ListParagraph"/>
        <w:numPr>
          <w:ilvl w:val="0"/>
          <w:numId w:val="3"/>
        </w:numPr>
        <w:spacing w:after="80" w:line="280" w:lineRule="auto"/>
      </w:pPr>
      <w:r>
        <w:rPr>
          <w:b/>
          <w:bCs/>
        </w:rPr>
        <w:t xml:space="preserve">Recommendation zone </w:t>
      </w:r>
      <w:r>
        <w:t>— one of four (Strong Bootstrap / Bootstrap-leaning / Equity-leaning / Strong Equity).</w:t>
      </w:r>
    </w:p>
    <w:p w14:paraId="6D7B77B7" w14:textId="77777777" w:rsidR="0061784F" w:rsidRDefault="00000000">
      <w:pPr>
        <w:pStyle w:val="ListParagraph"/>
        <w:numPr>
          <w:ilvl w:val="0"/>
          <w:numId w:val="3"/>
        </w:numPr>
        <w:spacing w:after="80" w:line="280" w:lineRule="auto"/>
      </w:pPr>
      <w:r>
        <w:rPr>
          <w:b/>
          <w:bCs/>
        </w:rPr>
        <w:t xml:space="preserve">Top three drivers </w:t>
      </w:r>
      <w:r>
        <w:t>— the three factors with the largest contribution to the Net Score, with their direction and a one-sentence interpretation.</w:t>
      </w:r>
    </w:p>
    <w:p w14:paraId="34AC9913" w14:textId="77777777" w:rsidR="0061784F" w:rsidRDefault="00000000">
      <w:pPr>
        <w:pStyle w:val="ListParagraph"/>
        <w:numPr>
          <w:ilvl w:val="0"/>
          <w:numId w:val="3"/>
        </w:numPr>
        <w:spacing w:after="80" w:line="280" w:lineRule="auto"/>
      </w:pPr>
      <w:r>
        <w:rPr>
          <w:b/>
          <w:bCs/>
        </w:rPr>
        <w:t xml:space="preserve">Top two watch-outs </w:t>
      </w:r>
      <w:r>
        <w:t>— the two factors most in tension with the recommendation. These represent the strongest reasons to reconsider the suggested path.</w:t>
      </w:r>
    </w:p>
    <w:p w14:paraId="5C792F77" w14:textId="77777777" w:rsidR="0061784F" w:rsidRDefault="00000000">
      <w:pPr>
        <w:pStyle w:val="ListParagraph"/>
        <w:numPr>
          <w:ilvl w:val="0"/>
          <w:numId w:val="3"/>
        </w:numPr>
        <w:spacing w:after="80" w:line="280" w:lineRule="auto"/>
      </w:pPr>
      <w:r>
        <w:rPr>
          <w:b/>
          <w:bCs/>
        </w:rPr>
        <w:t xml:space="preserve">Suggested next actions </w:t>
      </w:r>
      <w:r>
        <w:t>— 3–4 concrete next steps tailored to the recommended zone (e.g., for a "Bootstrap-leaning" output: identify revenue-financing instruments, set traction milestones for a future raise, identify 5 target investors to begin relationships).</w:t>
      </w:r>
    </w:p>
    <w:p w14:paraId="301EBF99" w14:textId="77777777" w:rsidR="0061784F" w:rsidRDefault="00000000">
      <w:pPr>
        <w:pStyle w:val="Heading2"/>
      </w:pPr>
      <w:r>
        <w:t>6.2 What the Decision Brief deliberately does NOT do</w:t>
      </w:r>
    </w:p>
    <w:p w14:paraId="26A9227B" w14:textId="77777777" w:rsidR="0061784F" w:rsidRDefault="00000000">
      <w:pPr>
        <w:pStyle w:val="ListParagraph"/>
        <w:numPr>
          <w:ilvl w:val="0"/>
          <w:numId w:val="2"/>
        </w:numPr>
        <w:spacing w:after="80" w:line="280" w:lineRule="auto"/>
      </w:pPr>
      <w:r>
        <w:t>It does not output a single number or grade.</w:t>
      </w:r>
    </w:p>
    <w:p w14:paraId="419C909D" w14:textId="77777777" w:rsidR="0061784F" w:rsidRDefault="00000000">
      <w:pPr>
        <w:pStyle w:val="ListParagraph"/>
        <w:numPr>
          <w:ilvl w:val="0"/>
          <w:numId w:val="2"/>
        </w:numPr>
        <w:spacing w:after="80" w:line="280" w:lineRule="auto"/>
      </w:pPr>
      <w:r>
        <w:t>It does not state "raise X million euros" or any specific funding amount.</w:t>
      </w:r>
    </w:p>
    <w:p w14:paraId="2E64BF43" w14:textId="77777777" w:rsidR="0061784F" w:rsidRDefault="00000000">
      <w:pPr>
        <w:pStyle w:val="ListParagraph"/>
        <w:numPr>
          <w:ilvl w:val="0"/>
          <w:numId w:val="2"/>
        </w:numPr>
        <w:spacing w:after="80" w:line="280" w:lineRule="auto"/>
      </w:pPr>
      <w:r>
        <w:t>It does not recommend specific investors or firms.</w:t>
      </w:r>
    </w:p>
    <w:p w14:paraId="6A0A3A37" w14:textId="77777777" w:rsidR="0061784F" w:rsidRDefault="00000000">
      <w:pPr>
        <w:pStyle w:val="ListParagraph"/>
        <w:numPr>
          <w:ilvl w:val="0"/>
          <w:numId w:val="2"/>
        </w:numPr>
        <w:spacing w:after="80" w:line="280" w:lineRule="auto"/>
      </w:pPr>
      <w:r>
        <w:t>It does not predict outcomes or success probabilities.</w:t>
      </w:r>
    </w:p>
    <w:p w14:paraId="256837C2" w14:textId="77777777" w:rsidR="0061784F" w:rsidRDefault="00000000">
      <w:pPr>
        <w:spacing w:after="120" w:line="300" w:lineRule="auto"/>
      </w:pPr>
      <w:r>
        <w:t>These omissions are deliberate. The SFDF is a structured reasoning aid, not a prescriptive engine. Its role is to organise the founder's thinking — final decisions remain with the founder and their advisors.</w:t>
      </w:r>
    </w:p>
    <w:p w14:paraId="2A2FD6E8" w14:textId="77777777" w:rsidR="0061784F" w:rsidRDefault="00000000">
      <w:pPr>
        <w:pStyle w:val="Heading1"/>
      </w:pPr>
      <w:r>
        <w:t>7. Validation Plan</w:t>
      </w:r>
    </w:p>
    <w:p w14:paraId="08545C6C" w14:textId="77777777" w:rsidR="0061784F" w:rsidRDefault="00000000">
      <w:pPr>
        <w:spacing w:after="120" w:line="300" w:lineRule="auto"/>
      </w:pPr>
      <w:r>
        <w:t>The SFDF will be validated through a two-pass evaluation at the SIM Conference in Porto, following the FEDS framework (Venable, Pries-Heje &amp; Baskerville, 2016). The validation is described in detail in the accompanying Build &amp; Validation Plan document and summarised here:</w:t>
      </w:r>
    </w:p>
    <w:p w14:paraId="276A626B" w14:textId="77777777" w:rsidR="0061784F" w:rsidRDefault="00000000">
      <w:pPr>
        <w:pStyle w:val="ListParagraph"/>
        <w:numPr>
          <w:ilvl w:val="0"/>
          <w:numId w:val="2"/>
        </w:numPr>
        <w:spacing w:after="80" w:line="280" w:lineRule="auto"/>
      </w:pPr>
      <w:r>
        <w:rPr>
          <w:b/>
          <w:bCs/>
        </w:rPr>
        <w:t xml:space="preserve">Day 1 — Naturalistic, Formative. </w:t>
      </w:r>
      <w:r>
        <w:t>Four to six structured 15–20 minute sessions with founders and investors. Feedback collected via a five-question structured form plus open notes. Focus: which factors should be added, removed, or rewritten; which weights feel wrong; whether the output zone matches practitioner intuition.</w:t>
      </w:r>
    </w:p>
    <w:p w14:paraId="374E6BC7" w14:textId="77777777" w:rsidR="0061784F" w:rsidRDefault="00000000">
      <w:pPr>
        <w:pStyle w:val="ListParagraph"/>
        <w:numPr>
          <w:ilvl w:val="0"/>
          <w:numId w:val="2"/>
        </w:numPr>
        <w:spacing w:after="80" w:line="280" w:lineRule="auto"/>
      </w:pPr>
      <w:r>
        <w:rPr>
          <w:b/>
          <w:bCs/>
        </w:rPr>
        <w:t xml:space="preserve">Overnight iteration. </w:t>
      </w:r>
      <w:r>
        <w:t>Synthesize feedback, produce SFDF v2 with a clean changelog.</w:t>
      </w:r>
    </w:p>
    <w:p w14:paraId="56898104" w14:textId="77777777" w:rsidR="0061784F" w:rsidRDefault="00000000">
      <w:pPr>
        <w:pStyle w:val="ListParagraph"/>
        <w:numPr>
          <w:ilvl w:val="0"/>
          <w:numId w:val="2"/>
        </w:numPr>
        <w:spacing w:after="80" w:line="280" w:lineRule="auto"/>
      </w:pPr>
      <w:r>
        <w:rPr>
          <w:b/>
          <w:bCs/>
        </w:rPr>
        <w:t xml:space="preserve">Day 2 — Naturalistic, Summative. </w:t>
      </w:r>
      <w:r>
        <w:t>Track A: return visits to Day-1 respondents to confirm revisions. Track B: 3–4 fresh respondents tested on SFDF v2.</w:t>
      </w:r>
    </w:p>
    <w:p w14:paraId="74275A7B" w14:textId="77777777" w:rsidR="0061784F" w:rsidRDefault="00000000">
      <w:r>
        <w:br w:type="page"/>
      </w:r>
    </w:p>
    <w:p w14:paraId="24C70D55" w14:textId="77777777" w:rsidR="0061784F" w:rsidRDefault="00000000">
      <w:pPr>
        <w:pStyle w:val="Heading1"/>
      </w:pPr>
      <w:r>
        <w:lastRenderedPageBreak/>
        <w:t>8. Annex — Worked Examples</w:t>
      </w:r>
    </w:p>
    <w:p w14:paraId="035737E5" w14:textId="77777777" w:rsidR="0061784F" w:rsidRDefault="00000000">
      <w:pPr>
        <w:spacing w:after="120" w:line="300" w:lineRule="auto"/>
      </w:pPr>
      <w:r>
        <w:t>Three test cases were constructed to calibrate the SFDF v1 thresholds. These cases will be refined as additional empirical evidence emerges from validation.</w:t>
      </w:r>
    </w:p>
    <w:p w14:paraId="440800A4" w14:textId="77777777" w:rsidR="0061784F" w:rsidRDefault="00000000">
      <w:pPr>
        <w:pStyle w:val="Heading2"/>
      </w:pPr>
      <w:r>
        <w:t>8.1 Case 1 — Bootstrapped SaaS founder</w:t>
      </w:r>
    </w:p>
    <w:p w14:paraId="020D731E" w14:textId="77777777" w:rsidR="0061784F" w:rsidRDefault="00000000">
      <w:pPr>
        <w:spacing w:after="120" w:line="300" w:lineRule="auto"/>
      </w:pPr>
      <w:r>
        <w:rPr>
          <w:i/>
          <w:iCs/>
        </w:rPr>
        <w:t xml:space="preserve">Profile: </w:t>
      </w:r>
      <w:r>
        <w:t>Solo technical founder, 8 years sector experience, building a vertical SaaS for a niche B2B segment. €40k personal runway, charging customers from month 3, no direct VC-backed competitor.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1700"/>
        <w:gridCol w:w="3260"/>
      </w:tblGrid>
      <w:tr w:rsidR="0061784F" w14:paraId="66ABAE62"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5905E9B7" w14:textId="77777777" w:rsidR="0061784F" w:rsidRDefault="00000000">
            <w:pPr>
              <w:jc w:val="center"/>
            </w:pPr>
            <w:r>
              <w:rPr>
                <w:b/>
                <w:bCs/>
                <w:color w:val="FFFFFF"/>
                <w:sz w:val="18"/>
                <w:szCs w:val="18"/>
              </w:rPr>
              <w:t>Factor</w:t>
            </w:r>
          </w:p>
        </w:tc>
        <w:tc>
          <w:tcPr>
            <w:tcW w:w="20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52E3E494" w14:textId="77777777" w:rsidR="0061784F" w:rsidRDefault="00000000">
            <w:pPr>
              <w:jc w:val="center"/>
            </w:pPr>
            <w:r>
              <w:rPr>
                <w:b/>
                <w:bCs/>
                <w:color w:val="FFFFFF"/>
                <w:sz w:val="18"/>
                <w:szCs w:val="18"/>
              </w:rPr>
              <w:t>Score</w:t>
            </w:r>
          </w:p>
        </w:tc>
        <w:tc>
          <w:tcPr>
            <w:tcW w:w="170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0BC4DD1B" w14:textId="77777777" w:rsidR="0061784F" w:rsidRDefault="00000000">
            <w:pPr>
              <w:jc w:val="center"/>
            </w:pPr>
            <w:r>
              <w:rPr>
                <w:b/>
                <w:bCs/>
                <w:color w:val="FFFFFF"/>
                <w:sz w:val="18"/>
                <w:szCs w:val="18"/>
              </w:rPr>
              <w:t>Direction</w:t>
            </w:r>
          </w:p>
        </w:tc>
        <w:tc>
          <w:tcPr>
            <w:tcW w:w="3260" w:type="dxa"/>
            <w:tcBorders>
              <w:top w:val="single" w:sz="4" w:space="0" w:color="B0B0B0"/>
              <w:left w:val="single" w:sz="4" w:space="0" w:color="B0B0B0"/>
              <w:bottom w:val="single" w:sz="4" w:space="0" w:color="B0B0B0"/>
              <w:right w:val="single" w:sz="4" w:space="0" w:color="B0B0B0"/>
            </w:tcBorders>
            <w:shd w:val="clear" w:color="auto" w:fill="1F4E79"/>
            <w:tcMar>
              <w:top w:w="90" w:type="dxa"/>
              <w:left w:w="130" w:type="dxa"/>
              <w:bottom w:w="90" w:type="dxa"/>
              <w:right w:w="130" w:type="dxa"/>
            </w:tcMar>
          </w:tcPr>
          <w:p w14:paraId="1A631866" w14:textId="77777777" w:rsidR="0061784F" w:rsidRDefault="00000000">
            <w:pPr>
              <w:jc w:val="center"/>
            </w:pPr>
            <w:r>
              <w:rPr>
                <w:b/>
                <w:bCs/>
                <w:color w:val="FFFFFF"/>
                <w:sz w:val="18"/>
                <w:szCs w:val="18"/>
              </w:rPr>
              <w:t>Note</w:t>
            </w:r>
          </w:p>
        </w:tc>
      </w:tr>
      <w:tr w:rsidR="0061784F" w14:paraId="0E948896"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34DE1AE" w14:textId="77777777" w:rsidR="0061784F" w:rsidRDefault="00000000">
            <w:r>
              <w:rPr>
                <w:sz w:val="18"/>
                <w:szCs w:val="18"/>
              </w:rPr>
              <w:t>A1 Risk tolerance</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DD7C89F" w14:textId="77777777" w:rsidR="0061784F" w:rsidRDefault="00000000">
            <w:r>
              <w:rPr>
                <w:sz w:val="18"/>
                <w:szCs w:val="18"/>
              </w:rPr>
              <w:t>4</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A3851A2" w14:textId="77777777" w:rsidR="0061784F" w:rsidRDefault="00000000">
            <w:r>
              <w:rPr>
                <w:sz w:val="18"/>
                <w:szCs w:val="18"/>
              </w:rPr>
              <w:t>B</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DA06D78" w14:textId="77777777" w:rsidR="0061784F" w:rsidRDefault="00000000">
            <w:r>
              <w:rPr>
                <w:sz w:val="18"/>
                <w:szCs w:val="18"/>
              </w:rPr>
              <w:t>Comfortable with personal financial risk.</w:t>
            </w:r>
          </w:p>
        </w:tc>
      </w:tr>
      <w:tr w:rsidR="0061784F" w14:paraId="4FBAEC1D"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3489CDC" w14:textId="77777777" w:rsidR="0061784F" w:rsidRDefault="00000000">
            <w:r>
              <w:rPr>
                <w:sz w:val="18"/>
                <w:szCs w:val="18"/>
              </w:rPr>
              <w:t>A2 Control preference</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3B690DE" w14:textId="77777777" w:rsidR="0061784F" w:rsidRDefault="00000000">
            <w:r>
              <w:rPr>
                <w:sz w:val="18"/>
                <w:szCs w:val="18"/>
              </w:rPr>
              <w:t>5</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DE07288" w14:textId="77777777" w:rsidR="0061784F" w:rsidRDefault="00000000">
            <w:r>
              <w:rPr>
                <w:sz w:val="18"/>
                <w:szCs w:val="18"/>
              </w:rPr>
              <w:t>B</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696BC19" w14:textId="77777777" w:rsidR="0061784F" w:rsidRDefault="00000000">
            <w:r>
              <w:rPr>
                <w:sz w:val="18"/>
                <w:szCs w:val="18"/>
              </w:rPr>
              <w:t>Strongly autonomy-driven.</w:t>
            </w:r>
          </w:p>
        </w:tc>
      </w:tr>
      <w:tr w:rsidR="0061784F" w14:paraId="18404A83"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100F6FD" w14:textId="77777777" w:rsidR="0061784F" w:rsidRDefault="00000000">
            <w:r>
              <w:rPr>
                <w:sz w:val="18"/>
                <w:szCs w:val="18"/>
              </w:rPr>
              <w:t>A3 Domain experience</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D103BAD" w14:textId="77777777" w:rsidR="0061784F" w:rsidRDefault="00000000">
            <w:r>
              <w:rPr>
                <w:sz w:val="18"/>
                <w:szCs w:val="18"/>
              </w:rPr>
              <w:t>4</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2CE27AC" w14:textId="77777777" w:rsidR="0061784F" w:rsidRDefault="00000000">
            <w:r>
              <w:rPr>
                <w:sz w:val="18"/>
                <w:szCs w:val="18"/>
              </w:rPr>
              <w:t>B</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9D4EACC" w14:textId="77777777" w:rsidR="0061784F" w:rsidRDefault="00000000">
            <w:r>
              <w:rPr>
                <w:sz w:val="18"/>
                <w:szCs w:val="18"/>
              </w:rPr>
              <w:t>Deep sector expertise.</w:t>
            </w:r>
          </w:p>
        </w:tc>
      </w:tr>
      <w:tr w:rsidR="0061784F" w14:paraId="4AFB7418"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577321E" w14:textId="77777777" w:rsidR="0061784F" w:rsidRDefault="00000000">
            <w:r>
              <w:rPr>
                <w:sz w:val="18"/>
                <w:szCs w:val="18"/>
              </w:rPr>
              <w:t>A4 Personal runway</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8CAA161" w14:textId="77777777" w:rsidR="0061784F" w:rsidRDefault="00000000">
            <w:r>
              <w:rPr>
                <w:sz w:val="18"/>
                <w:szCs w:val="18"/>
              </w:rPr>
              <w:t>3</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09E0971" w14:textId="77777777" w:rsidR="0061784F" w:rsidRDefault="00000000">
            <w:r>
              <w:rPr>
                <w:sz w:val="18"/>
                <w:szCs w:val="18"/>
              </w:rPr>
              <w:t>B</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9DCE9A1" w14:textId="77777777" w:rsidR="0061784F" w:rsidRDefault="00000000">
            <w:r>
              <w:rPr>
                <w:sz w:val="18"/>
                <w:szCs w:val="18"/>
              </w:rPr>
              <w:t>12 months runway.</w:t>
            </w:r>
          </w:p>
        </w:tc>
      </w:tr>
      <w:tr w:rsidR="0061784F" w14:paraId="01EE38A1"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BA195CF" w14:textId="77777777" w:rsidR="0061784F" w:rsidRDefault="00000000">
            <w:r>
              <w:rPr>
                <w:sz w:val="18"/>
                <w:szCs w:val="18"/>
              </w:rPr>
              <w:t>B1 Capital intensity</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0FCFEE9" w14:textId="77777777" w:rsidR="0061784F" w:rsidRDefault="00000000">
            <w:r>
              <w:rPr>
                <w:sz w:val="18"/>
                <w:szCs w:val="18"/>
              </w:rPr>
              <w:t>1</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4CC333F"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8D6C271" w14:textId="77777777" w:rsidR="0061784F" w:rsidRDefault="00000000">
            <w:r>
              <w:rPr>
                <w:sz w:val="18"/>
                <w:szCs w:val="18"/>
              </w:rPr>
              <w:t>Pure software, low infra cost.</w:t>
            </w:r>
          </w:p>
        </w:tc>
      </w:tr>
      <w:tr w:rsidR="0061784F" w14:paraId="7ABE8055"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AFF2838" w14:textId="77777777" w:rsidR="0061784F" w:rsidRDefault="00000000">
            <w:r>
              <w:rPr>
                <w:sz w:val="18"/>
                <w:szCs w:val="18"/>
              </w:rPr>
              <w:t>B2 Time-to-revenue</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9B6BAE0" w14:textId="77777777" w:rsidR="0061784F" w:rsidRDefault="00000000">
            <w:r>
              <w:rPr>
                <w:sz w:val="18"/>
                <w:szCs w:val="18"/>
              </w:rPr>
              <w:t>1</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22BD548"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36A1DD95" w14:textId="77777777" w:rsidR="0061784F" w:rsidRDefault="00000000">
            <w:r>
              <w:rPr>
                <w:sz w:val="18"/>
                <w:szCs w:val="18"/>
              </w:rPr>
              <w:t>Already charging.</w:t>
            </w:r>
          </w:p>
        </w:tc>
      </w:tr>
      <w:tr w:rsidR="0061784F" w14:paraId="7F1F9DFE"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94E2999" w14:textId="77777777" w:rsidR="0061784F" w:rsidRDefault="00000000">
            <w:r>
              <w:rPr>
                <w:sz w:val="18"/>
                <w:szCs w:val="18"/>
              </w:rPr>
              <w:t>B3 Existing traction</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69EC200" w14:textId="77777777" w:rsidR="0061784F" w:rsidRDefault="00000000">
            <w:r>
              <w:rPr>
                <w:sz w:val="18"/>
                <w:szCs w:val="18"/>
              </w:rPr>
              <w:t>4</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38557BC" w14:textId="77777777" w:rsidR="0061784F" w:rsidRDefault="00000000">
            <w:r>
              <w:rPr>
                <w:sz w:val="18"/>
                <w:szCs w:val="18"/>
              </w:rPr>
              <w:t>B</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D83AA0E" w14:textId="77777777" w:rsidR="0061784F" w:rsidRDefault="00000000">
            <w:r>
              <w:rPr>
                <w:sz w:val="18"/>
                <w:szCs w:val="18"/>
              </w:rPr>
              <w:t>Early MRR.</w:t>
            </w:r>
          </w:p>
        </w:tc>
      </w:tr>
      <w:tr w:rsidR="0061784F" w14:paraId="60B4F0EF"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7AFD2157" w14:textId="77777777" w:rsidR="0061784F" w:rsidRDefault="00000000">
            <w:r>
              <w:rPr>
                <w:sz w:val="18"/>
                <w:szCs w:val="18"/>
              </w:rPr>
              <w:t>B4 Defensibility / IP</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BF50169" w14:textId="77777777" w:rsidR="0061784F" w:rsidRDefault="00000000">
            <w:r>
              <w:rPr>
                <w:sz w:val="18"/>
                <w:szCs w:val="18"/>
              </w:rPr>
              <w:t>2</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61440E41"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0AE3D026" w14:textId="77777777" w:rsidR="0061784F" w:rsidRDefault="00000000">
            <w:r>
              <w:rPr>
                <w:sz w:val="18"/>
                <w:szCs w:val="18"/>
              </w:rPr>
              <w:t>Modest moat (workflow integrations).</w:t>
            </w:r>
          </w:p>
        </w:tc>
      </w:tr>
      <w:tr w:rsidR="0061784F" w14:paraId="60C8C016"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188BE455" w14:textId="77777777" w:rsidR="0061784F" w:rsidRDefault="00000000">
            <w:r>
              <w:rPr>
                <w:sz w:val="18"/>
                <w:szCs w:val="18"/>
              </w:rPr>
              <w:t>C1 Market timing</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9C34CBF" w14:textId="77777777" w:rsidR="0061784F" w:rsidRDefault="00000000">
            <w:r>
              <w:rPr>
                <w:sz w:val="18"/>
                <w:szCs w:val="18"/>
              </w:rPr>
              <w:t>1</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4641A3E"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6F4FBB13" w14:textId="77777777" w:rsidR="0061784F" w:rsidRDefault="00000000">
            <w:r>
              <w:rPr>
                <w:sz w:val="18"/>
                <w:szCs w:val="18"/>
              </w:rPr>
              <w:t>Patient niche market.</w:t>
            </w:r>
          </w:p>
        </w:tc>
      </w:tr>
      <w:tr w:rsidR="0061784F" w14:paraId="04CD1304"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07DF352" w14:textId="77777777" w:rsidR="0061784F" w:rsidRDefault="00000000">
            <w:r>
              <w:rPr>
                <w:sz w:val="18"/>
                <w:szCs w:val="18"/>
              </w:rPr>
              <w:t>C2 Competitive density</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AEC56C6" w14:textId="77777777" w:rsidR="0061784F" w:rsidRDefault="00000000">
            <w:r>
              <w:rPr>
                <w:sz w:val="18"/>
                <w:szCs w:val="18"/>
              </w:rPr>
              <w:t>2</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67C9B66E"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0688542" w14:textId="77777777" w:rsidR="0061784F" w:rsidRDefault="00000000">
            <w:r>
              <w:rPr>
                <w:sz w:val="18"/>
                <w:szCs w:val="18"/>
              </w:rPr>
              <w:t>Few direct competitors.</w:t>
            </w:r>
          </w:p>
        </w:tc>
      </w:tr>
      <w:tr w:rsidR="0061784F" w14:paraId="5F80CB41"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A5F325B" w14:textId="77777777" w:rsidR="0061784F" w:rsidRDefault="00000000">
            <w:r>
              <w:rPr>
                <w:sz w:val="18"/>
                <w:szCs w:val="18"/>
              </w:rPr>
              <w:t>C3 CAC trajectory</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11BA5D9" w14:textId="77777777" w:rsidR="0061784F" w:rsidRDefault="00000000">
            <w:r>
              <w:rPr>
                <w:sz w:val="18"/>
                <w:szCs w:val="18"/>
              </w:rPr>
              <w:t>2</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CB65909"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A829AFD" w14:textId="77777777" w:rsidR="0061784F" w:rsidRDefault="00000000">
            <w:r>
              <w:rPr>
                <w:sz w:val="18"/>
                <w:szCs w:val="18"/>
              </w:rPr>
              <w:t>Largely organic acquisition.</w:t>
            </w:r>
          </w:p>
        </w:tc>
      </w:tr>
      <w:tr w:rsidR="0061784F" w14:paraId="402239E7"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6B02534E" w14:textId="77777777" w:rsidR="0061784F" w:rsidRDefault="00000000">
            <w:r>
              <w:rPr>
                <w:sz w:val="18"/>
                <w:szCs w:val="18"/>
              </w:rPr>
              <w:t>D1 Exit horizon</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5342B73E" w14:textId="77777777" w:rsidR="0061784F" w:rsidRDefault="00000000">
            <w:r>
              <w:rPr>
                <w:sz w:val="18"/>
                <w:szCs w:val="18"/>
              </w:rPr>
              <w:t>2</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17CB28B"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67DA6359" w14:textId="77777777" w:rsidR="0061784F" w:rsidRDefault="00000000">
            <w:r>
              <w:rPr>
                <w:sz w:val="18"/>
                <w:szCs w:val="18"/>
              </w:rPr>
              <w:t>10+ year horizon.</w:t>
            </w:r>
          </w:p>
        </w:tc>
      </w:tr>
      <w:tr w:rsidR="0061784F" w14:paraId="3FCA493D"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C143452" w14:textId="77777777" w:rsidR="0061784F" w:rsidRDefault="00000000">
            <w:r>
              <w:rPr>
                <w:sz w:val="18"/>
                <w:szCs w:val="18"/>
              </w:rPr>
              <w:t>D2 Growth ambition</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E283317" w14:textId="77777777" w:rsidR="0061784F" w:rsidRDefault="00000000">
            <w:r>
              <w:rPr>
                <w:sz w:val="18"/>
                <w:szCs w:val="18"/>
              </w:rPr>
              <w:t>3</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73CB23A"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4E8E2FBD" w14:textId="77777777" w:rsidR="0061784F" w:rsidRDefault="00000000">
            <w:r>
              <w:rPr>
                <w:sz w:val="18"/>
                <w:szCs w:val="18"/>
              </w:rPr>
              <w:t>Sustainable growth, not hypergrowth.</w:t>
            </w:r>
          </w:p>
        </w:tc>
      </w:tr>
      <w:tr w:rsidR="0061784F" w14:paraId="5F28B857"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4E68925C" w14:textId="77777777" w:rsidR="0061784F" w:rsidRDefault="00000000">
            <w:r>
              <w:rPr>
                <w:sz w:val="18"/>
                <w:szCs w:val="18"/>
              </w:rPr>
              <w:t>D3 VC value-add need</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CC3AE2A" w14:textId="77777777" w:rsidR="0061784F" w:rsidRDefault="00000000">
            <w:r>
              <w:rPr>
                <w:sz w:val="18"/>
                <w:szCs w:val="18"/>
              </w:rPr>
              <w:t>2</w:t>
            </w:r>
          </w:p>
        </w:tc>
        <w:tc>
          <w:tcPr>
            <w:tcW w:w="170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19FD3376" w14:textId="77777777" w:rsidR="0061784F" w:rsidRDefault="00000000">
            <w:r>
              <w:rPr>
                <w:sz w:val="18"/>
                <w:szCs w:val="18"/>
              </w:rPr>
              <w:t>E</w:t>
            </w:r>
          </w:p>
        </w:tc>
        <w:tc>
          <w:tcPr>
            <w:tcW w:w="3260" w:type="dxa"/>
            <w:tcBorders>
              <w:top w:val="single" w:sz="4" w:space="0" w:color="B0B0B0"/>
              <w:left w:val="single" w:sz="4" w:space="0" w:color="B0B0B0"/>
              <w:bottom w:val="single" w:sz="4" w:space="0" w:color="B0B0B0"/>
              <w:right w:val="single" w:sz="4" w:space="0" w:color="B0B0B0"/>
            </w:tcBorders>
            <w:shd w:val="clear" w:color="auto" w:fill="F2F2F2"/>
            <w:tcMar>
              <w:top w:w="90" w:type="dxa"/>
              <w:left w:w="130" w:type="dxa"/>
              <w:bottom w:w="90" w:type="dxa"/>
              <w:right w:w="130" w:type="dxa"/>
            </w:tcMar>
          </w:tcPr>
          <w:p w14:paraId="21AC042B" w14:textId="77777777" w:rsidR="0061784F" w:rsidRDefault="00000000">
            <w:r>
              <w:rPr>
                <w:sz w:val="18"/>
                <w:szCs w:val="18"/>
              </w:rPr>
              <w:t>Cash not the constraint.</w:t>
            </w:r>
          </w:p>
        </w:tc>
      </w:tr>
      <w:tr w:rsidR="0061784F" w14:paraId="1CF10923" w14:textId="77777777">
        <w:tblPrEx>
          <w:tblCellMar>
            <w:top w:w="0" w:type="dxa"/>
            <w:bottom w:w="0" w:type="dxa"/>
          </w:tblCellMar>
        </w:tblPrEx>
        <w:tc>
          <w:tcPr>
            <w:tcW w:w="24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3834CFD3" w14:textId="77777777" w:rsidR="0061784F" w:rsidRDefault="00000000">
            <w:r>
              <w:rPr>
                <w:sz w:val="18"/>
                <w:szCs w:val="18"/>
              </w:rPr>
              <w:t>D4 Optionality preference</w:t>
            </w:r>
          </w:p>
        </w:tc>
        <w:tc>
          <w:tcPr>
            <w:tcW w:w="20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5D15B2E8" w14:textId="77777777" w:rsidR="0061784F" w:rsidRDefault="00000000">
            <w:r>
              <w:rPr>
                <w:sz w:val="18"/>
                <w:szCs w:val="18"/>
              </w:rPr>
              <w:t>5</w:t>
            </w:r>
          </w:p>
        </w:tc>
        <w:tc>
          <w:tcPr>
            <w:tcW w:w="170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247D65A5" w14:textId="77777777" w:rsidR="0061784F" w:rsidRDefault="00000000">
            <w:r>
              <w:rPr>
                <w:sz w:val="18"/>
                <w:szCs w:val="18"/>
              </w:rPr>
              <w:t>B</w:t>
            </w:r>
          </w:p>
        </w:tc>
        <w:tc>
          <w:tcPr>
            <w:tcW w:w="3260" w:type="dxa"/>
            <w:tcBorders>
              <w:top w:val="single" w:sz="4" w:space="0" w:color="B0B0B0"/>
              <w:left w:val="single" w:sz="4" w:space="0" w:color="B0B0B0"/>
              <w:bottom w:val="single" w:sz="4" w:space="0" w:color="B0B0B0"/>
              <w:right w:val="single" w:sz="4" w:space="0" w:color="B0B0B0"/>
            </w:tcBorders>
            <w:tcMar>
              <w:top w:w="90" w:type="dxa"/>
              <w:left w:w="130" w:type="dxa"/>
              <w:bottom w:w="90" w:type="dxa"/>
              <w:right w:w="130" w:type="dxa"/>
            </w:tcMar>
          </w:tcPr>
          <w:p w14:paraId="79B12BFA" w14:textId="77777777" w:rsidR="0061784F" w:rsidRDefault="00000000">
            <w:r>
              <w:rPr>
                <w:sz w:val="18"/>
                <w:szCs w:val="18"/>
              </w:rPr>
              <w:t>Wants to keep options open.</w:t>
            </w:r>
          </w:p>
        </w:tc>
      </w:tr>
    </w:tbl>
    <w:p w14:paraId="65F84C2B" w14:textId="77777777" w:rsidR="0061784F" w:rsidRDefault="00000000">
      <w:pPr>
        <w:spacing w:after="120" w:line="300" w:lineRule="auto"/>
      </w:pPr>
      <w:r>
        <w:rPr>
          <w:b/>
          <w:bCs/>
        </w:rPr>
        <w:t xml:space="preserve">Result: Net Score ≈ −1.22 → Strong Bootstrap. </w:t>
      </w:r>
      <w:r>
        <w:t>Top drivers: Control preference (A2), Optionality (D4), Time-to-revenue (B2). Top watch-outs: Risk tolerance (A1) and Existing traction (B3) are mildly opposing — a market timing shift could change the picture.</w:t>
      </w:r>
    </w:p>
    <w:p w14:paraId="018F0044" w14:textId="77777777" w:rsidR="0061784F" w:rsidRDefault="00000000">
      <w:pPr>
        <w:pStyle w:val="Heading2"/>
      </w:pPr>
      <w:r>
        <w:t>8.2 Case 2 — Capital-intensive deep-tech</w:t>
      </w:r>
    </w:p>
    <w:p w14:paraId="6609E0BB" w14:textId="77777777" w:rsidR="0061784F" w:rsidRDefault="00000000">
      <w:pPr>
        <w:spacing w:after="120" w:line="300" w:lineRule="auto"/>
      </w:pPr>
      <w:r>
        <w:rPr>
          <w:i/>
          <w:iCs/>
        </w:rPr>
        <w:t xml:space="preserve">Profile: </w:t>
      </w:r>
      <w:r>
        <w:t>Two co-founders building a hardware/AI defense product. 18 months to first revenue. Heavy R&amp;D, regulatory pathway, IP-defensible. Limited personal capital, several VC-backed competitors emerging.</w:t>
      </w:r>
    </w:p>
    <w:p w14:paraId="23FF5056" w14:textId="77777777" w:rsidR="0061784F" w:rsidRDefault="00000000">
      <w:pPr>
        <w:spacing w:after="120" w:line="300" w:lineRule="auto"/>
      </w:pPr>
      <w:r>
        <w:rPr>
          <w:b/>
          <w:bCs/>
        </w:rPr>
        <w:t xml:space="preserve">Result: Net Score ≈ +1.43 → Strong Equity. </w:t>
      </w:r>
      <w:r>
        <w:t>Top drivers: Capital intensity (B1), Time-to-revenue (B2), Defensibility (B4). Top watch-outs: Optionality (D4) and Personal runway (A4) favour bootstrap but cannot override the venture economics.</w:t>
      </w:r>
    </w:p>
    <w:p w14:paraId="14B9AF7D" w14:textId="77777777" w:rsidR="0061784F" w:rsidRDefault="00000000">
      <w:pPr>
        <w:pStyle w:val="Heading2"/>
      </w:pPr>
      <w:r>
        <w:t>8.3 Case 3 — Ambiguous early-stage marketplace</w:t>
      </w:r>
    </w:p>
    <w:p w14:paraId="328E0363" w14:textId="77777777" w:rsidR="0061784F" w:rsidRDefault="00000000">
      <w:pPr>
        <w:spacing w:after="120" w:line="300" w:lineRule="auto"/>
      </w:pPr>
      <w:r>
        <w:rPr>
          <w:i/>
          <w:iCs/>
        </w:rPr>
        <w:lastRenderedPageBreak/>
        <w:t xml:space="preserve">Profile: </w:t>
      </w:r>
      <w:r>
        <w:t>First-time founder building a two-sided marketplace. Some early traction but unproven retention, modest capital intensity, contested market. Personal runway adequate. Strategic ambition: hypergrowth.</w:t>
      </w:r>
    </w:p>
    <w:p w14:paraId="0D24B08E" w14:textId="77777777" w:rsidR="0061784F" w:rsidRDefault="00000000">
      <w:pPr>
        <w:spacing w:after="120" w:line="300" w:lineRule="auto"/>
      </w:pPr>
      <w:r>
        <w:rPr>
          <w:b/>
          <w:bCs/>
        </w:rPr>
        <w:t xml:space="preserve">Result: Net Score ≈ +0.70 → Equity-leaning. </w:t>
      </w:r>
      <w:r>
        <w:t>Top drivers: Market timing (C1), Growth ambition (D2), Customer acquisition cost (C3). Top watch-outs: Limited domain experience (A3) and modest existing traction (B3) suggest staging the raise (pre-seed first, seed after milestone).</w:t>
      </w:r>
    </w:p>
    <w:p w14:paraId="5395E4EB" w14:textId="77777777" w:rsidR="0061784F" w:rsidRDefault="00000000">
      <w:pPr>
        <w:pStyle w:val="Heading1"/>
      </w:pPr>
      <w:r>
        <w:t>9. Theoretical References</w:t>
      </w:r>
    </w:p>
    <w:p w14:paraId="387BE117" w14:textId="77777777" w:rsidR="0061784F" w:rsidRDefault="00000000">
      <w:pPr>
        <w:spacing w:after="120" w:line="300" w:lineRule="auto"/>
      </w:pPr>
      <w:r>
        <w:t>Full bibliography is in the dissertation main text. Key anchors for the SFDF:</w:t>
      </w:r>
    </w:p>
    <w:p w14:paraId="03770168" w14:textId="77777777" w:rsidR="0061784F" w:rsidRDefault="00000000">
      <w:pPr>
        <w:pStyle w:val="ListParagraph"/>
        <w:numPr>
          <w:ilvl w:val="0"/>
          <w:numId w:val="2"/>
        </w:numPr>
        <w:spacing w:after="80" w:line="280" w:lineRule="auto"/>
      </w:pPr>
      <w:r>
        <w:t>Bhidé, A. (2000). The Origin and Evolution of New Businesses. Oxford University Press.</w:t>
      </w:r>
    </w:p>
    <w:p w14:paraId="077DA24A" w14:textId="77777777" w:rsidR="0061784F" w:rsidRDefault="00000000">
      <w:pPr>
        <w:pStyle w:val="ListParagraph"/>
        <w:numPr>
          <w:ilvl w:val="0"/>
          <w:numId w:val="2"/>
        </w:numPr>
        <w:spacing w:after="80" w:line="280" w:lineRule="auto"/>
      </w:pPr>
      <w:r>
        <w:t>Hellmann, T., &amp; Puri, M. (2002). Venture capital and the professionalization of start-up firms. Journal of Finance, 57(1), 169–197.</w:t>
      </w:r>
    </w:p>
    <w:p w14:paraId="79C7AA80" w14:textId="77777777" w:rsidR="0061784F" w:rsidRDefault="00000000">
      <w:pPr>
        <w:pStyle w:val="ListParagraph"/>
        <w:numPr>
          <w:ilvl w:val="0"/>
          <w:numId w:val="2"/>
        </w:numPr>
        <w:spacing w:after="80" w:line="280" w:lineRule="auto"/>
      </w:pPr>
      <w:r>
        <w:t>Hevner, A. R., March, S. T., Park, J., &amp; Ram, S. (2004). Design science in information systems research. MIS Quarterly, 28(1), 75–105.</w:t>
      </w:r>
    </w:p>
    <w:p w14:paraId="7BE4E47C" w14:textId="77777777" w:rsidR="0061784F" w:rsidRDefault="00000000">
      <w:pPr>
        <w:pStyle w:val="ListParagraph"/>
        <w:numPr>
          <w:ilvl w:val="0"/>
          <w:numId w:val="2"/>
        </w:numPr>
        <w:spacing w:after="80" w:line="280" w:lineRule="auto"/>
      </w:pPr>
      <w:r>
        <w:t>Jensen, M., &amp; Meckling, W. (1976). Theory of the firm: managerial behavior, agency costs and ownership structure. Journal of Financial Economics, 3(4), 305–360.</w:t>
      </w:r>
    </w:p>
    <w:p w14:paraId="171E7025" w14:textId="77777777" w:rsidR="0061784F" w:rsidRDefault="00000000">
      <w:pPr>
        <w:pStyle w:val="ListParagraph"/>
        <w:numPr>
          <w:ilvl w:val="0"/>
          <w:numId w:val="2"/>
        </w:numPr>
        <w:spacing w:after="80" w:line="280" w:lineRule="auto"/>
      </w:pPr>
      <w:r>
        <w:t>Kaplan, S., &amp; Strömberg, P. (2003). Financial contracting theory meets the real world: an empirical analysis of venture capital contracts. Review of Economic Studies, 70(2), 281–315.</w:t>
      </w:r>
    </w:p>
    <w:p w14:paraId="05C1021A" w14:textId="77777777" w:rsidR="0061784F" w:rsidRDefault="00000000">
      <w:pPr>
        <w:pStyle w:val="ListParagraph"/>
        <w:numPr>
          <w:ilvl w:val="0"/>
          <w:numId w:val="2"/>
        </w:numPr>
        <w:spacing w:after="80" w:line="280" w:lineRule="auto"/>
      </w:pPr>
      <w:r>
        <w:t>Peffers, K., Tuunanen, T., Rothenberger, M. A., &amp; Chatterjee, S. (2007). A design science research methodology for information systems research. Journal of MIS, 24(3), 45–77.</w:t>
      </w:r>
    </w:p>
    <w:p w14:paraId="587A5DEF" w14:textId="77777777" w:rsidR="0061784F" w:rsidRDefault="00000000">
      <w:pPr>
        <w:pStyle w:val="ListParagraph"/>
        <w:numPr>
          <w:ilvl w:val="0"/>
          <w:numId w:val="2"/>
        </w:numPr>
        <w:spacing w:after="80" w:line="280" w:lineRule="auto"/>
      </w:pPr>
      <w:r>
        <w:t>Pfeffer, J., &amp; Salancik, G. (1978). The External Control of Organizations. Harper &amp; Row.</w:t>
      </w:r>
    </w:p>
    <w:p w14:paraId="69728665" w14:textId="77777777" w:rsidR="0061784F" w:rsidRDefault="00000000">
      <w:pPr>
        <w:pStyle w:val="ListParagraph"/>
        <w:numPr>
          <w:ilvl w:val="0"/>
          <w:numId w:val="2"/>
        </w:numPr>
        <w:spacing w:after="80" w:line="280" w:lineRule="auto"/>
      </w:pPr>
      <w:r>
        <w:t>Venable, J., Pries-Heje, J., &amp; Baskerville, R. (2016). FEDS: a framework for evaluation in design science research. European Journal of Information Systems, 25(1), 77–89.</w:t>
      </w:r>
    </w:p>
    <w:p w14:paraId="699AB219" w14:textId="77777777" w:rsidR="0061784F" w:rsidRDefault="00000000">
      <w:pPr>
        <w:pStyle w:val="ListParagraph"/>
        <w:numPr>
          <w:ilvl w:val="0"/>
          <w:numId w:val="2"/>
        </w:numPr>
        <w:spacing w:after="80" w:line="280" w:lineRule="auto"/>
      </w:pPr>
      <w:r>
        <w:t>Wasserman, N. (2017). The throne vs. the kingdom: founder control and value creation in startups. Strategic Management Journal, 38(2), 255–277.</w:t>
      </w:r>
    </w:p>
    <w:p w14:paraId="6EAF4803" w14:textId="77777777" w:rsidR="0061784F" w:rsidRDefault="00000000">
      <w:pPr>
        <w:pStyle w:val="ListParagraph"/>
        <w:numPr>
          <w:ilvl w:val="0"/>
          <w:numId w:val="2"/>
        </w:numPr>
        <w:spacing w:after="80" w:line="280" w:lineRule="auto"/>
      </w:pPr>
      <w:r>
        <w:t>Winborg, J., &amp; Landström, H. (2001). Financial bootstrapping in small businesses. Journal of Business Venturing, 16(3), 235–254.</w:t>
      </w:r>
    </w:p>
    <w:sectPr w:rsidR="0061784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53003"/>
    <w:multiLevelType w:val="hybridMultilevel"/>
    <w:tmpl w:val="5652FBBE"/>
    <w:lvl w:ilvl="0" w:tplc="3E0CD52E">
      <w:start w:val="1"/>
      <w:numFmt w:val="bullet"/>
      <w:lvlText w:val="•"/>
      <w:lvlJc w:val="left"/>
      <w:pPr>
        <w:ind w:left="720" w:hanging="360"/>
      </w:pPr>
    </w:lvl>
    <w:lvl w:ilvl="1" w:tplc="C7DE42A2">
      <w:numFmt w:val="decimal"/>
      <w:lvlText w:val=""/>
      <w:lvlJc w:val="left"/>
    </w:lvl>
    <w:lvl w:ilvl="2" w:tplc="B93EF5CA">
      <w:numFmt w:val="decimal"/>
      <w:lvlText w:val=""/>
      <w:lvlJc w:val="left"/>
    </w:lvl>
    <w:lvl w:ilvl="3" w:tplc="ED927A80">
      <w:numFmt w:val="decimal"/>
      <w:lvlText w:val=""/>
      <w:lvlJc w:val="left"/>
    </w:lvl>
    <w:lvl w:ilvl="4" w:tplc="19041490">
      <w:numFmt w:val="decimal"/>
      <w:lvlText w:val=""/>
      <w:lvlJc w:val="left"/>
    </w:lvl>
    <w:lvl w:ilvl="5" w:tplc="54FA89DA">
      <w:numFmt w:val="decimal"/>
      <w:lvlText w:val=""/>
      <w:lvlJc w:val="left"/>
    </w:lvl>
    <w:lvl w:ilvl="6" w:tplc="ED12592C">
      <w:numFmt w:val="decimal"/>
      <w:lvlText w:val=""/>
      <w:lvlJc w:val="left"/>
    </w:lvl>
    <w:lvl w:ilvl="7" w:tplc="77A42DAA">
      <w:numFmt w:val="decimal"/>
      <w:lvlText w:val=""/>
      <w:lvlJc w:val="left"/>
    </w:lvl>
    <w:lvl w:ilvl="8" w:tplc="1B8C12D6">
      <w:numFmt w:val="decimal"/>
      <w:lvlText w:val=""/>
      <w:lvlJc w:val="left"/>
    </w:lvl>
  </w:abstractNum>
  <w:abstractNum w:abstractNumId="1" w15:restartNumberingAfterBreak="0">
    <w:nsid w:val="2DC9367E"/>
    <w:multiLevelType w:val="hybridMultilevel"/>
    <w:tmpl w:val="8E060C5E"/>
    <w:lvl w:ilvl="0" w:tplc="B202A4FC">
      <w:start w:val="1"/>
      <w:numFmt w:val="decimal"/>
      <w:lvlText w:val="%1."/>
      <w:lvlJc w:val="left"/>
      <w:pPr>
        <w:ind w:left="720" w:hanging="360"/>
      </w:pPr>
    </w:lvl>
    <w:lvl w:ilvl="1" w:tplc="D20CCA5C">
      <w:numFmt w:val="decimal"/>
      <w:lvlText w:val=""/>
      <w:lvlJc w:val="left"/>
    </w:lvl>
    <w:lvl w:ilvl="2" w:tplc="BCF0DA78">
      <w:numFmt w:val="decimal"/>
      <w:lvlText w:val=""/>
      <w:lvlJc w:val="left"/>
    </w:lvl>
    <w:lvl w:ilvl="3" w:tplc="EE32ADF0">
      <w:numFmt w:val="decimal"/>
      <w:lvlText w:val=""/>
      <w:lvlJc w:val="left"/>
    </w:lvl>
    <w:lvl w:ilvl="4" w:tplc="62D05090">
      <w:numFmt w:val="decimal"/>
      <w:lvlText w:val=""/>
      <w:lvlJc w:val="left"/>
    </w:lvl>
    <w:lvl w:ilvl="5" w:tplc="1338AD14">
      <w:numFmt w:val="decimal"/>
      <w:lvlText w:val=""/>
      <w:lvlJc w:val="left"/>
    </w:lvl>
    <w:lvl w:ilvl="6" w:tplc="8E6C6886">
      <w:numFmt w:val="decimal"/>
      <w:lvlText w:val=""/>
      <w:lvlJc w:val="left"/>
    </w:lvl>
    <w:lvl w:ilvl="7" w:tplc="555298EC">
      <w:numFmt w:val="decimal"/>
      <w:lvlText w:val=""/>
      <w:lvlJc w:val="left"/>
    </w:lvl>
    <w:lvl w:ilvl="8" w:tplc="2F96E2B2">
      <w:numFmt w:val="decimal"/>
      <w:lvlText w:val=""/>
      <w:lvlJc w:val="left"/>
    </w:lvl>
  </w:abstractNum>
  <w:abstractNum w:abstractNumId="2" w15:restartNumberingAfterBreak="0">
    <w:nsid w:val="691B0C1E"/>
    <w:multiLevelType w:val="hybridMultilevel"/>
    <w:tmpl w:val="F4FCED14"/>
    <w:lvl w:ilvl="0" w:tplc="B758322C">
      <w:start w:val="1"/>
      <w:numFmt w:val="bullet"/>
      <w:lvlText w:val="●"/>
      <w:lvlJc w:val="left"/>
      <w:pPr>
        <w:ind w:left="720" w:hanging="360"/>
      </w:pPr>
    </w:lvl>
    <w:lvl w:ilvl="1" w:tplc="4BAC95BC">
      <w:start w:val="1"/>
      <w:numFmt w:val="bullet"/>
      <w:lvlText w:val="○"/>
      <w:lvlJc w:val="left"/>
      <w:pPr>
        <w:ind w:left="1440" w:hanging="360"/>
      </w:pPr>
    </w:lvl>
    <w:lvl w:ilvl="2" w:tplc="BFB07F06">
      <w:start w:val="1"/>
      <w:numFmt w:val="bullet"/>
      <w:lvlText w:val="■"/>
      <w:lvlJc w:val="left"/>
      <w:pPr>
        <w:ind w:left="2160" w:hanging="360"/>
      </w:pPr>
    </w:lvl>
    <w:lvl w:ilvl="3" w:tplc="AFE42E3A">
      <w:start w:val="1"/>
      <w:numFmt w:val="bullet"/>
      <w:lvlText w:val="●"/>
      <w:lvlJc w:val="left"/>
      <w:pPr>
        <w:ind w:left="2880" w:hanging="360"/>
      </w:pPr>
    </w:lvl>
    <w:lvl w:ilvl="4" w:tplc="E480C8EA">
      <w:start w:val="1"/>
      <w:numFmt w:val="bullet"/>
      <w:lvlText w:val="○"/>
      <w:lvlJc w:val="left"/>
      <w:pPr>
        <w:ind w:left="3600" w:hanging="360"/>
      </w:pPr>
    </w:lvl>
    <w:lvl w:ilvl="5" w:tplc="347A8642">
      <w:start w:val="1"/>
      <w:numFmt w:val="bullet"/>
      <w:lvlText w:val="■"/>
      <w:lvlJc w:val="left"/>
      <w:pPr>
        <w:ind w:left="4320" w:hanging="360"/>
      </w:pPr>
    </w:lvl>
    <w:lvl w:ilvl="6" w:tplc="23B2C2E8">
      <w:start w:val="1"/>
      <w:numFmt w:val="bullet"/>
      <w:lvlText w:val="●"/>
      <w:lvlJc w:val="left"/>
      <w:pPr>
        <w:ind w:left="5040" w:hanging="360"/>
      </w:pPr>
    </w:lvl>
    <w:lvl w:ilvl="7" w:tplc="CFB03008">
      <w:start w:val="1"/>
      <w:numFmt w:val="bullet"/>
      <w:lvlText w:val="●"/>
      <w:lvlJc w:val="left"/>
      <w:pPr>
        <w:ind w:left="5760" w:hanging="360"/>
      </w:pPr>
    </w:lvl>
    <w:lvl w:ilvl="8" w:tplc="062C1CBC">
      <w:start w:val="1"/>
      <w:numFmt w:val="bullet"/>
      <w:lvlText w:val="●"/>
      <w:lvlJc w:val="left"/>
      <w:pPr>
        <w:ind w:left="6480" w:hanging="360"/>
      </w:pPr>
    </w:lvl>
  </w:abstractNum>
  <w:num w:numId="1" w16cid:durableId="734551430">
    <w:abstractNumId w:val="2"/>
    <w:lvlOverride w:ilvl="0">
      <w:startOverride w:val="1"/>
    </w:lvlOverride>
  </w:num>
  <w:num w:numId="2" w16cid:durableId="1002859568">
    <w:abstractNumId w:val="0"/>
    <w:lvlOverride w:ilvl="0">
      <w:startOverride w:val="1"/>
    </w:lvlOverride>
  </w:num>
  <w:num w:numId="3" w16cid:durableId="14273138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84F"/>
    <w:rsid w:val="0061784F"/>
    <w:rsid w:val="00722DDC"/>
    <w:rsid w:val="007310DD"/>
  </w:rsids>
  <m:mathPr>
    <m:mathFont m:val="Cambria Math"/>
    <m:brkBin m:val="before"/>
    <m:brkBinSub m:val="--"/>
    <m:smallFrac m:val="0"/>
    <m:dispDef/>
    <m:lMargin m:val="0"/>
    <m:rMargin m:val="0"/>
    <m:defJc m:val="centerGroup"/>
    <m:wrapIndent m:val="1440"/>
    <m:intLim m:val="subSup"/>
    <m:naryLim m:val="undOvr"/>
  </m:mathPr>
  <w:themeFontLang w:val="en-BD" w:bidi="hi-IN"/>
  <w:clrSchemeMapping w:bg1="light1" w:t1="dark1" w:bg2="light2" w:t2="dark2" w:accent1="accent1" w:accent2="accent2" w:accent3="accent3" w:accent4="accent4" w:accent5="accent5" w:accent6="accent6" w:hyperlink="hyperlink" w:followedHyperlink="followedHyperlink"/>
  <w:decimalSymbol w:val="."/>
  <w:listSeparator w:val=","/>
  <w14:docId w14:val="04AB3800"/>
  <w15:docId w15:val="{869608A3-C2A0-8E41-9D9E-94B223E54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BD" w:eastAsia="en-GB"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spacing w:before="220" w:after="12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2198</Words>
  <Characters>13080</Characters>
  <Application>Microsoft Office Word</Application>
  <DocSecurity>0</DocSecurity>
  <Lines>353</Lines>
  <Paragraphs>122</Paragraphs>
  <ScaleCrop>false</ScaleCrop>
  <Company/>
  <LinksUpToDate>false</LinksUpToDate>
  <CharactersWithSpaces>15156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Rakibul Islam Sifat</cp:lastModifiedBy>
  <cp:revision>2</cp:revision>
  <dcterms:created xsi:type="dcterms:W3CDTF">2026-04-28T23:52:00Z</dcterms:created>
  <dcterms:modified xsi:type="dcterms:W3CDTF">2026-05-08T17:09:00Z</dcterms:modified>
</cp:coreProperties>
</file>