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Pasos pendientes — Activación de WhatsApp Business API</w:t>
      </w:r>
    </w:p>
    <w:p>
      <w:r>
        <w:rPr>
          <w:b/>
          <w:bCs/>
        </w:rPr>
        <w:t xml:space="preserve">Agente Valentina · RE/MAX Impacta</w:t>
      </w:r>
    </w:p>
    <w:p>
      <w:pPr>
        <w:spacing w:after="240"/>
      </w:pPr>
      <w:r>
        <w:rPr>
          <w:i/>
          <w:iCs/>
          <w:color w:val="666666"/>
        </w:rPr>
        <w:t xml:space="preserve">Quito, 25 de junio de 2026</w:t>
      </w:r>
    </w:p>
    <w:p>
      <w:pPr>
        <w:spacing w:after="200"/>
      </w:pPr>
      <w:r>
        <w:t xml:space="preserve">Para migrar el agente de WhatsApp de Valentina a la API oficial de Meta (WhatsApp Business Platform), necesitamos completar los siguientes pasos. Este cambio elimina los riesgos de restricción o bloqueo que tuvimos con la conexión anterior, y es el estándar que usan las empresas para mensajería automatizada en WhatsApp.</w:t>
      </w:r>
    </w:p>
    <w:p>
      <w:pPr>
        <w:pStyle w:val="Heading2"/>
      </w:pPr>
      <w:r>
        <w:t xml:space="preserve">1. Verificación de negocio ante Meta</w:t>
      </w:r>
    </w:p>
    <w:p>
      <w:pPr>
        <w:spacing w:after="120"/>
      </w:pPr>
      <w:r>
        <w:t xml:space="preserve">Meta requiere verificar la identidad legal de la empresa que va a operar el número de WhatsApp. Como ya tenemos acceso de administrador al Business Manager de Grupo Impacta, nos encargamos nosotros de cargar la información — solo necesitamos que nos compartan estos datos:</w:t>
      </w:r>
    </w:p>
    <w:p>
      <w:pPr>
        <w:pStyle w:val="ListParagraph"/>
        <w:numPr>
          <w:ilvl w:val="0"/>
          <w:numId w:val="2"/>
        </w:numPr>
      </w:pPr>
      <w:r>
        <w:t xml:space="preserve">RUC de la empresa (foto o PDF)</w:t>
      </w:r>
    </w:p>
    <w:p>
      <w:pPr>
        <w:pStyle w:val="ListParagraph"/>
        <w:numPr>
          <w:ilvl w:val="0"/>
          <w:numId w:val="2"/>
        </w:numPr>
      </w:pPr>
      <w:r>
        <w:t xml:space="preserve">Razón social exacta y dirección legal (tal como figuran en el RUC)</w:t>
      </w:r>
    </w:p>
    <w:p>
      <w:pPr>
        <w:pStyle w:val="ListParagraph"/>
        <w:numPr>
          <w:ilvl w:val="0"/>
          <w:numId w:val="2"/>
        </w:numPr>
      </w:pPr>
      <w:r>
        <w:t xml:space="preserve">Documento de respaldo (el mismo RUC suele servir, o un registro mercantil/factura)</w:t>
      </w:r>
    </w:p>
    <w:p>
      <w:pPr>
        <w:spacing w:after="200" w:before="120"/>
      </w:pPr>
      <w:r>
        <w:t xml:space="preserve">Importante: en algunos casos Meta envía un código de verificación a un correo del dominio oficial de la empresa (no un Gmail personal) o llama al teléfono registrado del negocio para confirmar. Si eso ocurre, vamos a necesitar que alguien de su equipo nos pase ese código.</w:t>
      </w:r>
    </w:p>
    <w:p>
      <w:pPr>
        <w:pStyle w:val="Heading2"/>
      </w:pPr>
      <w:r>
        <w:t xml:space="preserve">2. Método de pago</w:t>
      </w:r>
    </w:p>
    <w:p>
      <w:pPr>
        <w:spacing w:after="120"/>
      </w:pPr>
      <w:r>
        <w:t xml:space="preserve">La API de Meta requiere una tarjeta cargada para los mensajes que la empresa inicia (por ejemplo, los recordatorios automáticos de seguimiento a leads que no respondieron). Las respuestas normales de Valentina a un lead que escribe primero no tienen costo.</w:t>
      </w:r>
    </w:p>
    <w:p>
      <w:pPr>
        <w:spacing w:after="80"/>
      </w:pPr>
      <w:r>
        <w:t xml:space="preserve">El gasto estimado mensual es de pocos dólares, según el volumen de leads de las campañas activas.</w:t>
      </w:r>
    </w:p>
    <w:p>
      <w:pPr>
        <w:spacing w:after="200"/>
      </w:pPr>
      <w:r>
        <w:t xml:space="preserve">Se agrega desde: Business Manager → Facturación (Billing Hub) → Métodos de pago.</w:t>
      </w:r>
    </w:p>
    <w:p>
      <w:pPr>
        <w:pStyle w:val="Heading2"/>
      </w:pPr>
      <w:r>
        <w:t xml:space="preserve">3. Política de privacidad — ya resuelto ✓</w:t>
      </w:r>
    </w:p>
    <w:p>
      <w:pPr>
        <w:spacing w:after="120"/>
      </w:pPr>
      <w:r>
        <w:t xml:space="preserve">Este punto ya está cubierto. Publicamos una página de política de privacidad en: </w:t>
      </w:r>
      <w:hyperlink w:history="1" r:id="rIdr0jfawuon30povw8qen1s">
        <w:r>
          <w:rPr>
            <w:rStyle w:val="Hyperlink"/>
          </w:rPr>
          <w:t xml:space="preserve">airemaximpactaasisstant-production.up.railway.app/privacidad</w:t>
        </w:r>
      </w:hyperlink>
    </w:p>
    <w:p>
      <w:pPr>
        <w:spacing w:after="240"/>
      </w:pPr>
      <w:r>
        <w:t xml:space="preserve">Es un borrador funcional para destrabar la configuración técnica. Recomendamos que en algún momento sea revisado por alguien con conocimiento legal, sobre todo antes de manejar grandes volúmenes de leads reales.</w:t>
      </w:r>
    </w:p>
    <w:p>
      <w:pPr>
        <w:pBdr>
          <w:bottom w:val="single" w:color="0B3D2E" w:sz="6" w:space="1"/>
        </w:pBdr>
        <w:spacing w:after="200"/>
      </w:pPr>
    </w:p>
    <w:p>
      <w:r>
        <w:rPr>
          <w:b/>
          <w:bCs/>
        </w:rPr>
        <w:t xml:space="preserve">Una vez resueltos los puntos 1 y 2, quedamos listos para activar el agente en modo producción con el número oficial.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B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3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0jfawuon30povw8qen1s" Type="http://schemas.openxmlformats.org/officeDocument/2006/relationships/hyperlink" Target="https://airemaximpactaasisstant-production.up.railway.app/privacida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2026-06-25T20:03:25.700Z</dcterms:created>
  <dcterms:modified xsi:type="dcterms:W3CDTF">2026-06-25T20:03:25.700Z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