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pPr>
      <w:r>
        <w:rPr>
          <w:rFonts w:ascii="Calibri" w:cs="Calibri" w:eastAsia="Calibri" w:hAnsi="Calibri"/>
          <w:b/>
          <w:bCs/>
          <w:color w:val="C9922A"/>
          <w:spacing w:val="80"/>
          <w:sz w:val="22"/>
          <w:szCs w:val="22"/>
        </w:rPr>
        <w:t xml:space="preserve">SPONSORSHIP PROPOSAL</w:t>
      </w:r>
    </w:p>
    <w:p>
      <w:pPr>
        <w:spacing w:after="40"/>
      </w:pPr>
      <w:r>
        <w:rPr>
          <w:rFonts w:ascii="Cambria" w:cs="Cambria" w:eastAsia="Cambria" w:hAnsi="Cambria"/>
          <w:b/>
          <w:bCs/>
          <w:color w:val="1A1A24"/>
          <w:sz w:val="60"/>
          <w:szCs w:val="60"/>
        </w:rPr>
        <w:t xml:space="preserve">Building Resilience</w:t>
      </w:r>
    </w:p>
    <w:p>
      <w:pPr>
        <w:spacing w:after="260"/>
      </w:pPr>
      <w:r>
        <w:rPr>
          <w:rFonts w:ascii="Cambria" w:cs="Cambria" w:eastAsia="Cambria" w:hAnsi="Cambria"/>
          <w:b/>
          <w:bCs/>
          <w:color w:val="1A1A24"/>
          <w:sz w:val="60"/>
          <w:szCs w:val="60"/>
        </w:rPr>
        <w:t xml:space="preserve">Annual Conference 2026</w:t>
      </w:r>
    </w:p>
    <w:p>
      <w:pPr>
        <w:spacing w:after="400"/>
      </w:pPr>
      <w:r>
        <w:rPr>
          <w:rFonts w:ascii="Cambria" w:cs="Cambria" w:eastAsia="Cambria" w:hAnsi="Cambria"/>
          <w:i/>
          <w:iCs/>
          <w:color w:val="23232E"/>
          <w:sz w:val="28"/>
          <w:szCs w:val="28"/>
        </w:rPr>
        <w:t xml:space="preserve">A Title sponsorship, prepared for Investec.</w:t>
      </w:r>
    </w:p>
    <w:p>
      <w:pPr>
        <w:pBdr>
          <w:bottom w:val="single" w:color="C9922A" w:sz="14"/>
        </w:pBdr>
        <w:spacing w:after="240"/>
      </w:pPr>
    </w:p>
    <w:p>
      <w:pPr>
        <w:spacing w:after="60"/>
      </w:pPr>
      <w:r>
        <w:rPr>
          <w:rFonts w:ascii="Calibri" w:cs="Calibri" w:eastAsia="Calibri" w:hAnsi="Calibri"/>
          <w:b/>
          <w:bCs/>
          <w:color w:val="C9922A"/>
          <w:spacing w:val="40"/>
          <w:sz w:val="18"/>
          <w:szCs w:val="18"/>
        </w:rPr>
        <w:t xml:space="preserve">Prepared for</w:t>
      </w:r>
      <w:r>
        <w:rPr>
          <w:rFonts w:ascii="Calibri" w:cs="Calibri" w:eastAsia="Calibri" w:hAnsi="Calibri"/>
          <w:color w:val="23232E"/>
          <w:sz w:val="24"/>
          <w:szCs w:val="24"/>
        </w:rPr>
        <w:t xml:space="preserve">   Investec</w:t>
      </w:r>
    </w:p>
    <w:p>
      <w:pPr>
        <w:spacing w:after="60"/>
      </w:pPr>
      <w:r>
        <w:rPr>
          <w:rFonts w:ascii="Calibri" w:cs="Calibri" w:eastAsia="Calibri" w:hAnsi="Calibri"/>
          <w:b/>
          <w:bCs/>
          <w:color w:val="C9922A"/>
          <w:spacing w:val="40"/>
          <w:sz w:val="18"/>
          <w:szCs w:val="18"/>
        </w:rPr>
        <w:t xml:space="preserve">Presented to</w:t>
      </w:r>
      <w:r>
        <w:rPr>
          <w:rFonts w:ascii="Calibri" w:cs="Calibri" w:eastAsia="Calibri" w:hAnsi="Calibri"/>
          <w:color w:val="6B6B76"/>
          <w:sz w:val="24"/>
          <w:szCs w:val="24"/>
        </w:rPr>
        <w:t xml:space="preserve">   [Investec contact name and title to confirm]</w:t>
      </w:r>
    </w:p>
    <w:p>
      <w:pPr>
        <w:spacing w:after="60"/>
      </w:pPr>
      <w:r>
        <w:rPr>
          <w:rFonts w:ascii="Calibri" w:cs="Calibri" w:eastAsia="Calibri" w:hAnsi="Calibri"/>
          <w:b/>
          <w:bCs/>
          <w:color w:val="C9922A"/>
          <w:spacing w:val="40"/>
          <w:sz w:val="18"/>
          <w:szCs w:val="18"/>
        </w:rPr>
        <w:t xml:space="preserve">When</w:t>
      </w:r>
      <w:r>
        <w:rPr>
          <w:rFonts w:ascii="Calibri" w:cs="Calibri" w:eastAsia="Calibri" w:hAnsi="Calibri"/>
          <w:color w:val="23232E"/>
          <w:sz w:val="24"/>
          <w:szCs w:val="24"/>
        </w:rPr>
        <w:t xml:space="preserve">   Thursday, 29 October 2026, full day</w:t>
      </w:r>
    </w:p>
    <w:p>
      <w:pPr>
        <w:spacing w:after="300"/>
      </w:pPr>
      <w:r>
        <w:rPr>
          <w:rFonts w:ascii="Calibri" w:cs="Calibri" w:eastAsia="Calibri" w:hAnsi="Calibri"/>
          <w:b/>
          <w:bCs/>
          <w:color w:val="C9922A"/>
          <w:spacing w:val="40"/>
          <w:sz w:val="18"/>
          <w:szCs w:val="18"/>
        </w:rPr>
        <w:t xml:space="preserve">Where</w:t>
      </w:r>
      <w:r>
        <w:rPr>
          <w:rFonts w:ascii="Calibri" w:cs="Calibri" w:eastAsia="Calibri" w:hAnsi="Calibri"/>
          <w:color w:val="23232E"/>
          <w:sz w:val="24"/>
          <w:szCs w:val="24"/>
        </w:rPr>
        <w:t xml:space="preserve">   Wits Theatre, Braamfontein, Gauteng (target venue)</w:t>
      </w:r>
    </w:p>
    <w:p>
      <w:r>
        <w:rPr>
          <w:rFonts w:ascii="Cambria" w:cs="Cambria" w:eastAsia="Cambria" w:hAnsi="Cambria"/>
          <w:i/>
          <w:iCs/>
          <w:color w:val="C9922A"/>
          <w:sz w:val="24"/>
          <w:szCs w:val="24"/>
        </w:rPr>
        <w:t xml:space="preserve">“Where leaders come to sharpen each other.”</w:t>
      </w:r>
    </w:p>
    <w:p>
      <w:r>
        <w:br w:type="page"/>
      </w:r>
    </w:p>
    <w:p>
      <w:pPr>
        <w:spacing w:after="60" w:before="340"/>
      </w:pPr>
      <w:r>
        <w:rPr>
          <w:rFonts w:ascii="Calibri" w:cs="Calibri" w:eastAsia="Calibri" w:hAnsi="Calibri"/>
          <w:b/>
          <w:bCs/>
          <w:color w:val="C9922A"/>
          <w:spacing w:val="40"/>
          <w:sz w:val="18"/>
          <w:szCs w:val="18"/>
        </w:rPr>
        <w:t xml:space="preserve">THE SHORT VERSION</w:t>
      </w:r>
    </w:p>
    <w:p>
      <w:pPr>
        <w:spacing w:after="140"/>
      </w:pPr>
      <w:r>
        <w:rPr>
          <w:rFonts w:ascii="Cambria" w:cs="Cambria" w:eastAsia="Cambria" w:hAnsi="Cambria"/>
          <w:b/>
          <w:bCs/>
          <w:color w:val="1A1A24"/>
          <w:sz w:val="30"/>
          <w:szCs w:val="30"/>
        </w:rPr>
        <w:t xml:space="preserve">A premium brand for a premium room</w:t>
      </w:r>
    </w:p>
    <w:p>
      <w:pPr>
        <w:spacing w:after="160" w:line="300"/>
      </w:pPr>
      <w:r>
        <w:rPr>
          <w:rFonts w:ascii="Cambria" w:cs="Cambria" w:eastAsia="Cambria" w:hAnsi="Cambria"/>
          <w:i/>
          <w:iCs/>
          <w:color w:val="1A1A24"/>
          <w:sz w:val="26"/>
          <w:szCs w:val="26"/>
        </w:rPr>
        <w:t xml:space="preserve">The venue holds one day. The name on it carries for months.</w:t>
      </w:r>
    </w:p>
    <w:p>
      <w:pPr>
        <w:spacing w:after="140" w:line="288"/>
        <w:jc w:val="both"/>
      </w:pPr>
      <w:r>
        <w:rPr>
          <w:rFonts w:ascii="Calibri" w:cs="Calibri" w:eastAsia="Calibri" w:hAnsi="Calibri"/>
          <w:color w:val="23232E"/>
          <w:sz w:val="22"/>
          <w:szCs w:val="22"/>
        </w:rPr>
        <w:t xml:space="preserve">Build Resilience invites Investec to take the Title sponsorship of the Building Resilience Annual Conference 2026, a full-day, in-person gathering on Thursday 29 October 2026 at the Wits Theatre in Braamfontein. That is the headline. The rest of this document is really about why Investec, of all the names we could approach, is the right one to sit above it.</w:t>
      </w:r>
    </w:p>
    <w:p>
      <w:pPr>
        <w:spacing w:after="140" w:line="288"/>
        <w:jc w:val="both"/>
      </w:pPr>
      <w:r>
        <w:rPr>
          <w:rFonts w:ascii="Calibri" w:cs="Calibri" w:eastAsia="Calibri" w:hAnsi="Calibri"/>
          <w:color w:val="23232E"/>
          <w:sz w:val="22"/>
          <w:szCs w:val="22"/>
        </w:rPr>
        <w:t xml:space="preserve">The conference puts 300 to 400 senior delegates in one room. Founders and CEOs of growth-stage businesses, senior operators, investors, advisors and board members. These are, more or less, the people Investec already builds its private and business banking around. For one day, and across the months of programming that lead into it, the Investec name would sit at the centre of that room rather than somewhere near the edge of it.</w:t>
      </w:r>
    </w:p>
    <w:p>
      <w:pPr>
        <w:spacing w:after="200" w:line="288"/>
        <w:jc w:val="both"/>
      </w:pPr>
      <w:r>
        <w:rPr>
          <w:rFonts w:ascii="Calibri" w:cs="Calibri" w:eastAsia="Calibri" w:hAnsi="Calibri"/>
          <w:color w:val="23232E"/>
          <w:sz w:val="22"/>
          <w:szCs w:val="22"/>
        </w:rPr>
        <w:t xml:space="preserve">So we are not really selling footfall here. We are offering a fit. A serious, high-trust audience, met by a serious, high-trust bank. That is the whole idea.</w:t>
      </w:r>
    </w:p>
    <w:tbl>
      <w:tblPr>
        <w:tblW w:type="dxa" w:w="9120"/>
        <w:tblBorders>
          <w:top w:val="none" w:color="FFFFFF" w:sz="0"/>
          <w:left w:val="none" w:color="FFFFFF" w:sz="0"/>
          <w:bottom w:val="none" w:color="FFFFFF" w:sz="0"/>
          <w:right w:val="none" w:color="FFFFFF" w:sz="0"/>
          <w:insideH w:val="single" w:color="FFFFFF" w:sz="6"/>
          <w:insideV w:val="single" w:color="FFFFFF" w:sz="6"/>
        </w:tblBorders>
      </w:tblPr>
      <w:tblGrid>
        <w:gridCol w:w="3040"/>
        <w:gridCol w:w="3040"/>
        <w:gridCol w:w="3040"/>
      </w:tblGrid>
      <w:tr>
        <w:tc>
          <w:tcPr>
            <w:tcW w:type="dxa" w:w="3040"/>
            <w:shd w:fill="1A1A24" w:color="auto" w:val="clear"/>
            <w:tcMar>
              <w:top w:type="dxa" w:w="160"/>
              <w:left w:type="dxa" w:w="120"/>
              <w:bottom w:type="dxa" w:w="160"/>
              <w:right w:type="dxa" w:w="120"/>
            </w:tcMar>
          </w:tcPr>
          <w:p>
            <w:pPr>
              <w:spacing w:after="40"/>
              <w:jc w:val="center"/>
            </w:pPr>
            <w:r>
              <w:rPr>
                <w:rFonts w:ascii="Cambria" w:cs="Cambria" w:eastAsia="Cambria" w:hAnsi="Cambria"/>
                <w:b/>
                <w:bCs/>
                <w:color w:val="C9922A"/>
                <w:sz w:val="44"/>
                <w:szCs w:val="44"/>
              </w:rPr>
              <w:t xml:space="preserve">300–400</w:t>
            </w:r>
          </w:p>
          <w:p>
            <w:pPr>
              <w:jc w:val="center"/>
            </w:pPr>
            <w:r>
              <w:rPr>
                <w:rFonts w:ascii="Calibri" w:cs="Calibri" w:eastAsia="Calibri" w:hAnsi="Calibri"/>
                <w:color w:val="E8E6E0"/>
                <w:sz w:val="17"/>
                <w:szCs w:val="17"/>
              </w:rPr>
              <w:t xml:space="preserve">senior delegates in the room</w:t>
            </w:r>
          </w:p>
        </w:tc>
        <w:tc>
          <w:tcPr>
            <w:tcW w:type="dxa" w:w="3040"/>
            <w:shd w:fill="1A1A24" w:color="auto" w:val="clear"/>
            <w:tcMar>
              <w:top w:type="dxa" w:w="160"/>
              <w:left w:type="dxa" w:w="120"/>
              <w:bottom w:type="dxa" w:w="160"/>
              <w:right w:type="dxa" w:w="120"/>
            </w:tcMar>
          </w:tcPr>
          <w:p>
            <w:pPr>
              <w:spacing w:after="40"/>
              <w:jc w:val="center"/>
            </w:pPr>
            <w:r>
              <w:rPr>
                <w:rFonts w:ascii="Cambria" w:cs="Cambria" w:eastAsia="Cambria" w:hAnsi="Cambria"/>
                <w:b/>
                <w:bCs/>
                <w:color w:val="C9922A"/>
                <w:sz w:val="44"/>
                <w:szCs w:val="44"/>
              </w:rPr>
              <w:t xml:space="preserve">10</w:t>
            </w:r>
          </w:p>
          <w:p>
            <w:pPr>
              <w:jc w:val="center"/>
            </w:pPr>
            <w:r>
              <w:rPr>
                <w:rFonts w:ascii="Calibri" w:cs="Calibri" w:eastAsia="Calibri" w:hAnsi="Calibri"/>
                <w:color w:val="E8E6E0"/>
                <w:sz w:val="17"/>
                <w:szCs w:val="17"/>
              </w:rPr>
              <w:t xml:space="preserve">curated speakers, one full day</w:t>
            </w:r>
          </w:p>
        </w:tc>
        <w:tc>
          <w:tcPr>
            <w:tcW w:type="dxa" w:w="3040"/>
            <w:shd w:fill="1A1A24" w:color="auto" w:val="clear"/>
            <w:tcMar>
              <w:top w:type="dxa" w:w="160"/>
              <w:left w:type="dxa" w:w="120"/>
              <w:bottom w:type="dxa" w:w="160"/>
              <w:right w:type="dxa" w:w="120"/>
            </w:tcMar>
          </w:tcPr>
          <w:p>
            <w:pPr>
              <w:spacing w:after="40"/>
              <w:jc w:val="center"/>
            </w:pPr>
            <w:r>
              <w:rPr>
                <w:rFonts w:ascii="Cambria" w:cs="Cambria" w:eastAsia="Cambria" w:hAnsi="Cambria"/>
                <w:b/>
                <w:bCs/>
                <w:color w:val="C9922A"/>
                <w:sz w:val="44"/>
                <w:szCs w:val="44"/>
              </w:rPr>
              <w:t xml:space="preserve">3</w:t>
            </w:r>
          </w:p>
          <w:p>
            <w:pPr>
              <w:jc w:val="center"/>
            </w:pPr>
            <w:r>
              <w:rPr>
                <w:rFonts w:ascii="Calibri" w:cs="Calibri" w:eastAsia="Calibri" w:hAnsi="Calibri"/>
                <w:color w:val="E8E6E0"/>
                <w:sz w:val="17"/>
                <w:szCs w:val="17"/>
              </w:rPr>
              <w:t xml:space="preserve">pillars: Strength, Structure, Growth</w:t>
            </w:r>
          </w:p>
        </w:tc>
      </w:tr>
    </w:tbl>
    <w:p>
      <w:r>
        <w:br w:type="page"/>
      </w:r>
    </w:p>
    <w:p>
      <w:pPr>
        <w:spacing w:after="60" w:before="340"/>
      </w:pPr>
      <w:r>
        <w:rPr>
          <w:rFonts w:ascii="Calibri" w:cs="Calibri" w:eastAsia="Calibri" w:hAnsi="Calibri"/>
          <w:b/>
          <w:bCs/>
          <w:color w:val="C9922A"/>
          <w:spacing w:val="40"/>
          <w:sz w:val="18"/>
          <w:szCs w:val="18"/>
        </w:rPr>
        <w:t xml:space="preserve">WHY WE LEAD WITH FIT, NOT FOOTFALL</w:t>
      </w:r>
    </w:p>
    <w:p>
      <w:pPr>
        <w:spacing w:after="140"/>
      </w:pPr>
      <w:r>
        <w:rPr>
          <w:rFonts w:ascii="Cambria" w:cs="Cambria" w:eastAsia="Cambria" w:hAnsi="Cambria"/>
          <w:b/>
          <w:bCs/>
          <w:color w:val="1A1A24"/>
          <w:sz w:val="30"/>
          <w:szCs w:val="30"/>
        </w:rPr>
        <w:t xml:space="preserve">A different kind of proposal</w:t>
      </w:r>
    </w:p>
    <w:p>
      <w:pPr>
        <w:spacing w:after="140" w:line="288"/>
        <w:jc w:val="both"/>
      </w:pPr>
      <w:r>
        <w:rPr>
          <w:rFonts w:ascii="Calibri" w:cs="Calibri" w:eastAsia="Calibri" w:hAnsi="Calibri"/>
          <w:color w:val="23232E"/>
          <w:sz w:val="22"/>
          <w:szCs w:val="22"/>
        </w:rPr>
        <w:t xml:space="preserve">Most sponsorship proposals open by promising a room full of leads. We could do that, honestly, and the room would probably deliver it. But leading with a headcount felt like the wrong opening for a conversation with Investec, mostly because it undersells what is actually on the table.</w:t>
      </w:r>
    </w:p>
    <w:p>
      <w:pPr>
        <w:spacing w:after="140" w:line="288"/>
        <w:jc w:val="both"/>
      </w:pPr>
      <w:r>
        <w:rPr>
          <w:rFonts w:ascii="Calibri" w:cs="Calibri" w:eastAsia="Calibri" w:hAnsi="Calibri"/>
          <w:color w:val="23232E"/>
          <w:sz w:val="22"/>
          <w:szCs w:val="22"/>
        </w:rPr>
        <w:t xml:space="preserve">Investec has spent years building a brand that means something to founders and operators. “Out of the Ordinary” is not a line you bolt onto a mass-market event. So rather than count heads, we would rather talk about the company the Investec name would keep for a day. And then about the smaller, quieter thing sitting right alongside it: a group of Gauteng matriculants, in the room, watching what a built business actually looks like.</w:t>
      </w:r>
    </w:p>
    <w:p>
      <w:pPr>
        <w:spacing w:after="140" w:line="288"/>
        <w:jc w:val="both"/>
      </w:pPr>
      <w:r>
        <w:rPr>
          <w:rFonts w:ascii="Calibri" w:cs="Calibri" w:eastAsia="Calibri" w:hAnsi="Calibri"/>
          <w:color w:val="23232E"/>
          <w:sz w:val="22"/>
          <w:szCs w:val="22"/>
        </w:rPr>
        <w:t xml:space="preserve">The commercial recognition is all here. It is set out plainly further down, nothing hidden. It is just not the first thing we wanted to say.</w:t>
      </w:r>
    </w:p>
    <w:p>
      <w:pPr>
        <w:spacing w:after="60" w:before="340"/>
      </w:pPr>
      <w:r>
        <w:rPr>
          <w:rFonts w:ascii="Calibri" w:cs="Calibri" w:eastAsia="Calibri" w:hAnsi="Calibri"/>
          <w:b/>
          <w:bCs/>
          <w:color w:val="C9922A"/>
          <w:spacing w:val="40"/>
          <w:sz w:val="18"/>
          <w:szCs w:val="18"/>
        </w:rPr>
        <w:t xml:space="preserve">WHO WE ARE</w:t>
      </w:r>
    </w:p>
    <w:p>
      <w:pPr>
        <w:spacing w:after="140"/>
      </w:pPr>
      <w:r>
        <w:rPr>
          <w:rFonts w:ascii="Cambria" w:cs="Cambria" w:eastAsia="Cambria" w:hAnsi="Cambria"/>
          <w:b/>
          <w:bCs/>
          <w:color w:val="1A1A24"/>
          <w:sz w:val="30"/>
          <w:szCs w:val="30"/>
        </w:rPr>
        <w:t xml:space="preserve">About Build Resilience</w:t>
      </w:r>
    </w:p>
    <w:p>
      <w:pPr>
        <w:spacing w:after="140" w:line="288"/>
        <w:jc w:val="both"/>
      </w:pPr>
      <w:r>
        <w:rPr>
          <w:rFonts w:ascii="Calibri" w:cs="Calibri" w:eastAsia="Calibri" w:hAnsi="Calibri"/>
          <w:color w:val="23232E"/>
          <w:sz w:val="22"/>
          <w:szCs w:val="22"/>
        </w:rPr>
        <w:t xml:space="preserve">Build Resilience is a Gauteng company, wholly owned by Kingdom Faith Worship Centre NPC (PBO status pending). We design and produce high-trust conferences, roundtables and workshops for founders, operators and organisational leaders. Our rooms are built for practical wisdom, shared openly, by people who have already done the hard work of building, breaking and rebuilding businesses. We don’t host pitches. We host honest conversations.</w:t>
      </w:r>
    </w:p>
    <w:p>
      <w:pPr>
        <w:spacing w:after="120" w:line="288"/>
        <w:jc w:val="both"/>
      </w:pPr>
      <w:r>
        <w:rPr>
          <w:rFonts w:ascii="Calibri" w:cs="Calibri" w:eastAsia="Calibri" w:hAnsi="Calibri"/>
          <w:color w:val="23232E"/>
          <w:sz w:val="22"/>
          <w:szCs w:val="22"/>
        </w:rPr>
        <w:t xml:space="preserve">The flagship conference brings ten curated speakers together for a full day, organised around three pillars.</w:t>
      </w:r>
    </w:p>
    <w:tbl>
      <w:tblPr>
        <w:tblW w:type="dxa" w:w="9120"/>
        <w:tblBorders>
          <w:top w:val="none" w:color="FFFFFF" w:sz="0"/>
          <w:left w:val="none" w:color="FFFFFF" w:sz="0"/>
          <w:bottom w:val="none" w:color="FFFFFF" w:sz="0"/>
          <w:right w:val="none" w:color="FFFFFF" w:sz="0"/>
          <w:insideH w:val="single" w:color="FFFFFF" w:sz="6"/>
          <w:insideV w:val="single" w:color="FFFFFF" w:sz="6"/>
        </w:tblBorders>
      </w:tblPr>
      <w:tblGrid>
        <w:gridCol w:w="3040"/>
        <w:gridCol w:w="3040"/>
        <w:gridCol w:w="3040"/>
      </w:tblGrid>
      <w:tr>
        <w:tc>
          <w:tcPr>
            <w:tcW w:type="dxa" w:w="3040"/>
            <w:shd w:fill="F4F1EA" w:color="auto" w:val="clear"/>
            <w:tcMar>
              <w:top w:type="dxa" w:w="150"/>
              <w:left w:type="dxa" w:w="150"/>
              <w:bottom w:type="dxa" w:w="150"/>
              <w:right w:type="dxa" w:w="150"/>
            </w:tcMar>
          </w:tcPr>
          <w:p>
            <w:pPr>
              <w:spacing w:after="60"/>
            </w:pPr>
            <w:r>
              <w:rPr>
                <w:rFonts w:ascii="Cambria" w:cs="Cambria" w:eastAsia="Cambria" w:hAnsi="Cambria"/>
                <w:b/>
                <w:bCs/>
                <w:color w:val="C9922A"/>
                <w:sz w:val="24"/>
                <w:szCs w:val="24"/>
              </w:rPr>
              <w:t xml:space="preserve">Strength</w:t>
            </w:r>
          </w:p>
          <w:p>
            <w:r>
              <w:rPr>
                <w:rFonts w:ascii="Calibri" w:cs="Calibri" w:eastAsia="Calibri" w:hAnsi="Calibri"/>
                <w:color w:val="23232E"/>
                <w:sz w:val="19"/>
                <w:szCs w:val="19"/>
              </w:rPr>
              <w:t xml:space="preserve">Honest, raw conversations about what nearly broke the business, and what saved it.</w:t>
            </w:r>
          </w:p>
        </w:tc>
        <w:tc>
          <w:tcPr>
            <w:tcW w:type="dxa" w:w="3040"/>
            <w:shd w:fill="F4F1EA" w:color="auto" w:val="clear"/>
            <w:tcMar>
              <w:top w:type="dxa" w:w="150"/>
              <w:left w:type="dxa" w:w="150"/>
              <w:bottom w:type="dxa" w:w="150"/>
              <w:right w:type="dxa" w:w="150"/>
            </w:tcMar>
          </w:tcPr>
          <w:p>
            <w:pPr>
              <w:spacing w:after="60"/>
            </w:pPr>
            <w:r>
              <w:rPr>
                <w:rFonts w:ascii="Cambria" w:cs="Cambria" w:eastAsia="Cambria" w:hAnsi="Cambria"/>
                <w:b/>
                <w:bCs/>
                <w:color w:val="C9922A"/>
                <w:sz w:val="24"/>
                <w:szCs w:val="24"/>
              </w:rPr>
              <w:t xml:space="preserve">Structure</w:t>
            </w:r>
          </w:p>
          <w:p>
            <w:r>
              <w:rPr>
                <w:rFonts w:ascii="Calibri" w:cs="Calibri" w:eastAsia="Calibri" w:hAnsi="Calibri"/>
                <w:color w:val="23232E"/>
                <w:sz w:val="19"/>
                <w:szCs w:val="19"/>
              </w:rPr>
              <w:t xml:space="preserve">The operating systems and frameworks that turn good intentions into repeatable outcomes.</w:t>
            </w:r>
          </w:p>
        </w:tc>
        <w:tc>
          <w:tcPr>
            <w:tcW w:type="dxa" w:w="3040"/>
            <w:shd w:fill="F4F1EA" w:color="auto" w:val="clear"/>
            <w:tcMar>
              <w:top w:type="dxa" w:w="150"/>
              <w:left w:type="dxa" w:w="150"/>
              <w:bottom w:type="dxa" w:w="150"/>
              <w:right w:type="dxa" w:w="150"/>
            </w:tcMar>
          </w:tcPr>
          <w:p>
            <w:pPr>
              <w:spacing w:after="60"/>
            </w:pPr>
            <w:r>
              <w:rPr>
                <w:rFonts w:ascii="Cambria" w:cs="Cambria" w:eastAsia="Cambria" w:hAnsi="Cambria"/>
                <w:b/>
                <w:bCs/>
                <w:color w:val="C9922A"/>
                <w:sz w:val="24"/>
                <w:szCs w:val="24"/>
              </w:rPr>
              <w:t xml:space="preserve">Growth</w:t>
            </w:r>
          </w:p>
          <w:p>
            <w:r>
              <w:rPr>
                <w:rFonts w:ascii="Calibri" w:cs="Calibri" w:eastAsia="Calibri" w:hAnsi="Calibri"/>
                <w:color w:val="23232E"/>
                <w:sz w:val="19"/>
                <w:szCs w:val="19"/>
              </w:rPr>
              <w:t xml:space="preserve">The right relationships, capital and timing that produce lasting growth.</w:t>
            </w:r>
          </w:p>
        </w:tc>
      </w:tr>
    </w:tbl>
    <w:p>
      <w:r>
        <w:br w:type="page"/>
      </w:r>
    </w:p>
    <w:p>
      <w:pPr>
        <w:spacing w:after="60" w:before="340"/>
      </w:pPr>
      <w:r>
        <w:rPr>
          <w:rFonts w:ascii="Calibri" w:cs="Calibri" w:eastAsia="Calibri" w:hAnsi="Calibri"/>
          <w:b/>
          <w:bCs/>
          <w:color w:val="C9922A"/>
          <w:spacing w:val="40"/>
          <w:sz w:val="18"/>
          <w:szCs w:val="18"/>
        </w:rPr>
        <w:t xml:space="preserve">THE EVENT</w:t>
      </w:r>
    </w:p>
    <w:p>
      <w:pPr>
        <w:spacing w:after="140"/>
      </w:pPr>
      <w:r>
        <w:rPr>
          <w:rFonts w:ascii="Cambria" w:cs="Cambria" w:eastAsia="Cambria" w:hAnsi="Cambria"/>
          <w:b/>
          <w:bCs/>
          <w:color w:val="1A1A24"/>
          <w:sz w:val="30"/>
          <w:szCs w:val="30"/>
        </w:rPr>
        <w:t xml:space="preserve">The conference at a glance</w:t>
      </w:r>
    </w:p>
    <w:tbl>
      <w:tblPr>
        <w:tblW w:type="dxa" w:w="9120"/>
        <w:tblBorders>
          <w:top w:val="single" w:color="D9D4C8" w:sz="4"/>
          <w:left w:val="single" w:color="D9D4C8" w:sz="4"/>
          <w:bottom w:val="single" w:color="D9D4C8" w:sz="4"/>
          <w:right w:val="single" w:color="D9D4C8" w:sz="4"/>
          <w:insideH w:val="single" w:color="D9D4C8" w:sz="4"/>
          <w:insideV w:val="single" w:color="D9D4C8" w:sz="4"/>
        </w:tblBorders>
      </w:tblPr>
      <w:tblGrid>
        <w:gridCol w:w="2200"/>
        <w:gridCol w:w="6920"/>
      </w:tblGrid>
      <w:tr>
        <w:tc>
          <w:tcPr>
            <w:tcW w:type="dxa" w:w="2200"/>
            <w:shd w:fill="F4F1EA" w:color="auto" w:val="clear"/>
            <w:tcMar>
              <w:top w:type="dxa" w:w="90"/>
              <w:left w:type="dxa" w:w="130"/>
              <w:bottom w:type="dxa" w:w="90"/>
              <w:right w:type="dxa" w:w="130"/>
            </w:tcMar>
          </w:tcPr>
          <w:p>
            <w:pPr>
              <w:jc w:val="left"/>
            </w:pPr>
            <w:r>
              <w:rPr>
                <w:rFonts w:ascii="Calibri" w:cs="Calibri" w:eastAsia="Calibri" w:hAnsi="Calibri"/>
                <w:b/>
                <w:bCs/>
                <w:color w:val="C9922A"/>
                <w:sz w:val="18"/>
                <w:szCs w:val="18"/>
              </w:rPr>
              <w:t xml:space="preserve">DATE</w:t>
            </w:r>
          </w:p>
        </w:tc>
        <w:tc>
          <w:tcPr>
            <w:tcW w:type="dxa" w:w="6920"/>
            <w:shd w:fill="F4F1EA" w:color="auto" w:val="clear"/>
            <w:tcMar>
              <w:top w:type="dxa" w:w="90"/>
              <w:left w:type="dxa" w:w="130"/>
              <w:bottom w:type="dxa" w:w="90"/>
              <w:right w:type="dxa" w:w="130"/>
            </w:tcMar>
          </w:tcPr>
          <w:p>
            <w:pPr>
              <w:jc w:val="left"/>
            </w:pPr>
            <w:r>
              <w:rPr>
                <w:rFonts w:ascii="Calibri" w:cs="Calibri" w:eastAsia="Calibri" w:hAnsi="Calibri"/>
                <w:b w:val="false"/>
                <w:bCs w:val="false"/>
                <w:color w:val="23232E"/>
                <w:sz w:val="21"/>
                <w:szCs w:val="21"/>
              </w:rPr>
              <w:t xml:space="preserve">Thursday, 29 October 2026</w:t>
            </w:r>
          </w:p>
        </w:tc>
      </w:tr>
      <w:tr>
        <w:tc>
          <w:tcPr>
            <w:tcW w:type="dxa" w:w="2200"/>
            <w:shd w:fill="FFFFFF" w:color="auto" w:val="clear"/>
            <w:tcMar>
              <w:top w:type="dxa" w:w="90"/>
              <w:left w:type="dxa" w:w="130"/>
              <w:bottom w:type="dxa" w:w="90"/>
              <w:right w:type="dxa" w:w="130"/>
            </w:tcMar>
          </w:tcPr>
          <w:p>
            <w:pPr>
              <w:jc w:val="left"/>
            </w:pPr>
            <w:r>
              <w:rPr>
                <w:rFonts w:ascii="Calibri" w:cs="Calibri" w:eastAsia="Calibri" w:hAnsi="Calibri"/>
                <w:b/>
                <w:bCs/>
                <w:color w:val="C9922A"/>
                <w:sz w:val="18"/>
                <w:szCs w:val="18"/>
              </w:rPr>
              <w:t xml:space="preserve">VENUE</w:t>
            </w:r>
          </w:p>
        </w:tc>
        <w:tc>
          <w:tcPr>
            <w:tcW w:type="dxa" w:w="6920"/>
            <w:shd w:fill="FFFFFF" w:color="auto" w:val="clear"/>
            <w:tcMar>
              <w:top w:type="dxa" w:w="90"/>
              <w:left w:type="dxa" w:w="130"/>
              <w:bottom w:type="dxa" w:w="90"/>
              <w:right w:type="dxa" w:w="130"/>
            </w:tcMar>
          </w:tcPr>
          <w:p>
            <w:pPr>
              <w:jc w:val="left"/>
            </w:pPr>
            <w:r>
              <w:rPr>
                <w:rFonts w:ascii="Calibri" w:cs="Calibri" w:eastAsia="Calibri" w:hAnsi="Calibri"/>
                <w:b w:val="false"/>
                <w:bCs w:val="false"/>
                <w:color w:val="23232E"/>
                <w:sz w:val="21"/>
                <w:szCs w:val="21"/>
              </w:rPr>
              <w:t xml:space="preserve">Wits Theatre, Braamfontein, Gauteng (target venue)</w:t>
            </w:r>
          </w:p>
        </w:tc>
      </w:tr>
      <w:tr>
        <w:tc>
          <w:tcPr>
            <w:tcW w:type="dxa" w:w="2200"/>
            <w:shd w:fill="F4F1EA" w:color="auto" w:val="clear"/>
            <w:tcMar>
              <w:top w:type="dxa" w:w="90"/>
              <w:left w:type="dxa" w:w="130"/>
              <w:bottom w:type="dxa" w:w="90"/>
              <w:right w:type="dxa" w:w="130"/>
            </w:tcMar>
          </w:tcPr>
          <w:p>
            <w:pPr>
              <w:jc w:val="left"/>
            </w:pPr>
            <w:r>
              <w:rPr>
                <w:rFonts w:ascii="Calibri" w:cs="Calibri" w:eastAsia="Calibri" w:hAnsi="Calibri"/>
                <w:b/>
                <w:bCs/>
                <w:color w:val="C9922A"/>
                <w:sz w:val="18"/>
                <w:szCs w:val="18"/>
              </w:rPr>
              <w:t xml:space="preserve">FORMAT</w:t>
            </w:r>
          </w:p>
        </w:tc>
        <w:tc>
          <w:tcPr>
            <w:tcW w:type="dxa" w:w="6920"/>
            <w:shd w:fill="F4F1EA" w:color="auto" w:val="clear"/>
            <w:tcMar>
              <w:top w:type="dxa" w:w="90"/>
              <w:left w:type="dxa" w:w="130"/>
              <w:bottom w:type="dxa" w:w="90"/>
              <w:right w:type="dxa" w:w="130"/>
            </w:tcMar>
          </w:tcPr>
          <w:p>
            <w:pPr>
              <w:jc w:val="left"/>
            </w:pPr>
            <w:r>
              <w:rPr>
                <w:rFonts w:ascii="Calibri" w:cs="Calibri" w:eastAsia="Calibri" w:hAnsi="Calibri"/>
                <w:b w:val="false"/>
                <w:bCs w:val="false"/>
                <w:color w:val="23232E"/>
                <w:sz w:val="21"/>
                <w:szCs w:val="21"/>
              </w:rPr>
              <w:t xml:space="preserve">In-person, full day</w:t>
            </w:r>
          </w:p>
        </w:tc>
      </w:tr>
      <w:tr>
        <w:tc>
          <w:tcPr>
            <w:tcW w:type="dxa" w:w="2200"/>
            <w:shd w:fill="FFFFFF" w:color="auto" w:val="clear"/>
            <w:tcMar>
              <w:top w:type="dxa" w:w="90"/>
              <w:left w:type="dxa" w:w="130"/>
              <w:bottom w:type="dxa" w:w="90"/>
              <w:right w:type="dxa" w:w="130"/>
            </w:tcMar>
          </w:tcPr>
          <w:p>
            <w:pPr>
              <w:jc w:val="left"/>
            </w:pPr>
            <w:r>
              <w:rPr>
                <w:rFonts w:ascii="Calibri" w:cs="Calibri" w:eastAsia="Calibri" w:hAnsi="Calibri"/>
                <w:b/>
                <w:bCs/>
                <w:color w:val="C9922A"/>
                <w:sz w:val="18"/>
                <w:szCs w:val="18"/>
              </w:rPr>
              <w:t xml:space="preserve">SPEAKERS</w:t>
            </w:r>
          </w:p>
        </w:tc>
        <w:tc>
          <w:tcPr>
            <w:tcW w:type="dxa" w:w="6920"/>
            <w:shd w:fill="FFFFFF" w:color="auto" w:val="clear"/>
            <w:tcMar>
              <w:top w:type="dxa" w:w="90"/>
              <w:left w:type="dxa" w:w="130"/>
              <w:bottom w:type="dxa" w:w="90"/>
              <w:right w:type="dxa" w:w="130"/>
            </w:tcMar>
          </w:tcPr>
          <w:p>
            <w:pPr>
              <w:jc w:val="left"/>
            </w:pPr>
            <w:r>
              <w:rPr>
                <w:rFonts w:ascii="Calibri" w:cs="Calibri" w:eastAsia="Calibri" w:hAnsi="Calibri"/>
                <w:b w:val="false"/>
                <w:bCs w:val="false"/>
                <w:color w:val="23232E"/>
                <w:sz w:val="21"/>
                <w:szCs w:val="21"/>
              </w:rPr>
              <w:t xml:space="preserve">Ten curated speakers</w:t>
            </w:r>
          </w:p>
        </w:tc>
      </w:tr>
      <w:tr>
        <w:tc>
          <w:tcPr>
            <w:tcW w:type="dxa" w:w="2200"/>
            <w:shd w:fill="F4F1EA" w:color="auto" w:val="clear"/>
            <w:tcMar>
              <w:top w:type="dxa" w:w="90"/>
              <w:left w:type="dxa" w:w="130"/>
              <w:bottom w:type="dxa" w:w="90"/>
              <w:right w:type="dxa" w:w="130"/>
            </w:tcMar>
          </w:tcPr>
          <w:p>
            <w:pPr>
              <w:jc w:val="left"/>
            </w:pPr>
            <w:r>
              <w:rPr>
                <w:rFonts w:ascii="Calibri" w:cs="Calibri" w:eastAsia="Calibri" w:hAnsi="Calibri"/>
                <w:b/>
                <w:bCs/>
                <w:color w:val="C9922A"/>
                <w:sz w:val="18"/>
                <w:szCs w:val="18"/>
              </w:rPr>
              <w:t xml:space="preserve">AUDIENCE</w:t>
            </w:r>
          </w:p>
        </w:tc>
        <w:tc>
          <w:tcPr>
            <w:tcW w:type="dxa" w:w="6920"/>
            <w:shd w:fill="F4F1EA" w:color="auto" w:val="clear"/>
            <w:tcMar>
              <w:top w:type="dxa" w:w="90"/>
              <w:left w:type="dxa" w:w="130"/>
              <w:bottom w:type="dxa" w:w="90"/>
              <w:right w:type="dxa" w:w="130"/>
            </w:tcMar>
          </w:tcPr>
          <w:p>
            <w:pPr>
              <w:jc w:val="left"/>
            </w:pPr>
            <w:r>
              <w:rPr>
                <w:rFonts w:ascii="Calibri" w:cs="Calibri" w:eastAsia="Calibri" w:hAnsi="Calibri"/>
                <w:b w:val="false"/>
                <w:bCs w:val="false"/>
                <w:color w:val="23232E"/>
                <w:sz w:val="21"/>
                <w:szCs w:val="21"/>
              </w:rPr>
              <w:t xml:space="preserve">300 to 400 senior delegates: founders and CEOs of growth-stage businesses, senior operators, investors, advisors and board members</w:t>
            </w:r>
          </w:p>
        </w:tc>
      </w:tr>
      <w:tr>
        <w:tc>
          <w:tcPr>
            <w:tcW w:type="dxa" w:w="2200"/>
            <w:shd w:fill="FFFFFF" w:color="auto" w:val="clear"/>
            <w:tcMar>
              <w:top w:type="dxa" w:w="90"/>
              <w:left w:type="dxa" w:w="130"/>
              <w:bottom w:type="dxa" w:w="90"/>
              <w:right w:type="dxa" w:w="130"/>
            </w:tcMar>
          </w:tcPr>
          <w:p>
            <w:pPr>
              <w:jc w:val="left"/>
            </w:pPr>
            <w:r>
              <w:rPr>
                <w:rFonts w:ascii="Calibri" w:cs="Calibri" w:eastAsia="Calibri" w:hAnsi="Calibri"/>
                <w:b/>
                <w:bCs/>
                <w:color w:val="C9922A"/>
                <w:sz w:val="18"/>
                <w:szCs w:val="18"/>
              </w:rPr>
              <w:t xml:space="preserve">PROGRAMME</w:t>
            </w:r>
          </w:p>
        </w:tc>
        <w:tc>
          <w:tcPr>
            <w:tcW w:type="dxa" w:w="6920"/>
            <w:shd w:fill="FFFFFF" w:color="auto" w:val="clear"/>
            <w:tcMar>
              <w:top w:type="dxa" w:w="90"/>
              <w:left w:type="dxa" w:w="130"/>
              <w:bottom w:type="dxa" w:w="90"/>
              <w:right w:type="dxa" w:w="130"/>
            </w:tcMar>
          </w:tcPr>
          <w:p>
            <w:pPr>
              <w:jc w:val="left"/>
            </w:pPr>
            <w:r>
              <w:rPr>
                <w:rFonts w:ascii="Calibri" w:cs="Calibri" w:eastAsia="Calibri" w:hAnsi="Calibri"/>
                <w:b w:val="false"/>
                <w:bCs w:val="false"/>
                <w:color w:val="23232E"/>
                <w:sz w:val="21"/>
                <w:szCs w:val="21"/>
              </w:rPr>
              <w:t xml:space="preserve">Strength · Structure · Growth</w:t>
            </w:r>
          </w:p>
        </w:tc>
      </w:tr>
    </w:tbl>
    <w:p>
      <w:pPr>
        <w:spacing w:after="160"/>
      </w:pPr>
    </w:p>
    <w:p>
      <w:pPr>
        <w:spacing w:after="60" w:before="340"/>
      </w:pPr>
      <w:r>
        <w:rPr>
          <w:rFonts w:ascii="Calibri" w:cs="Calibri" w:eastAsia="Calibri" w:hAnsi="Calibri"/>
          <w:b/>
          <w:bCs/>
          <w:color w:val="C9922A"/>
          <w:spacing w:val="40"/>
          <w:sz w:val="18"/>
          <w:szCs w:val="18"/>
        </w:rPr>
        <w:t xml:space="preserve">A SPONSOR IS VISIBLE FOR MONTHS, NOT A SINGLE DAY</w:t>
      </w:r>
    </w:p>
    <w:p>
      <w:pPr>
        <w:spacing w:after="140" w:line="288"/>
        <w:jc w:val="both"/>
      </w:pPr>
      <w:r>
        <w:rPr>
          <w:rFonts w:ascii="Calibri" w:cs="Calibri" w:eastAsia="Calibri" w:hAnsi="Calibri"/>
          <w:color w:val="23232E"/>
          <w:sz w:val="22"/>
          <w:szCs w:val="22"/>
        </w:rPr>
        <w:t xml:space="preserve">The conference does not stand alone on the day. It sits at the end of a year-round content programme, which means a sponsor attached to it is visible long before anyone walks into the theatre. Two strands run into 29 October: a monthly “Book Wednesdays” webinar series that runs across the whole year, and a weekly “Speaker Talks” series every Wednesday in the run-up, each session previewing a speaker’s topic. Post-event impact reporting follows within the first week after the conference.</w:t>
      </w:r>
    </w:p>
    <w:p>
      <w:pPr>
        <w:spacing w:after="60" w:line="288"/>
        <w:jc w:val="both"/>
      </w:pPr>
      <w:r>
        <w:rPr>
          <w:rFonts w:ascii="Calibri" w:cs="Calibri" w:eastAsia="Calibri" w:hAnsi="Calibri"/>
          <w:color w:val="23232E"/>
          <w:sz w:val="22"/>
          <w:szCs w:val="22"/>
        </w:rPr>
        <w:t xml:space="preserve">[Exact run-up dates for the weekly Speaker Talks series to confirm once the speaker line-up is locked.]</w:t>
      </w:r>
    </w:p>
    <w:p>
      <w:r>
        <w:br w:type="page"/>
      </w:r>
    </w:p>
    <w:p>
      <w:pPr>
        <w:spacing w:after="60" w:before="340"/>
      </w:pPr>
      <w:r>
        <w:rPr>
          <w:rFonts w:ascii="Calibri" w:cs="Calibri" w:eastAsia="Calibri" w:hAnsi="Calibri"/>
          <w:b/>
          <w:bCs/>
          <w:color w:val="C9922A"/>
          <w:spacing w:val="40"/>
          <w:sz w:val="18"/>
          <w:szCs w:val="18"/>
        </w:rPr>
        <w:t xml:space="preserve">WHAT WE BUILD TOGETHER</w:t>
      </w:r>
    </w:p>
    <w:p>
      <w:pPr>
        <w:spacing w:after="140"/>
      </w:pPr>
      <w:r>
        <w:rPr>
          <w:rFonts w:ascii="Cambria" w:cs="Cambria" w:eastAsia="Cambria" w:hAnsi="Cambria"/>
          <w:b/>
          <w:bCs/>
          <w:color w:val="1A1A24"/>
          <w:sz w:val="30"/>
          <w:szCs w:val="30"/>
        </w:rPr>
        <w:t xml:space="preserve">One room, two audiences that both matter to Investec</w:t>
      </w:r>
    </w:p>
    <w:p>
      <w:pPr>
        <w:spacing w:after="160" w:line="288"/>
        <w:jc w:val="both"/>
      </w:pPr>
      <w:r>
        <w:rPr>
          <w:rFonts w:ascii="Calibri" w:cs="Calibri" w:eastAsia="Calibri" w:hAnsi="Calibri"/>
          <w:color w:val="23232E"/>
          <w:sz w:val="22"/>
          <w:szCs w:val="22"/>
        </w:rPr>
        <w:t xml:space="preserve">Here is the shape of it. Each audience gets something it could not easily get on its own, and both of them happen to sit exactly where Investec already invests.</w:t>
      </w:r>
    </w:p>
    <w:tbl>
      <w:tblPr>
        <w:tblW w:type="dxa" w:w="9120"/>
        <w:tblBorders>
          <w:top w:val="none" w:color="FFFFFF" w:sz="0"/>
          <w:left w:val="none" w:color="FFFFFF" w:sz="0"/>
          <w:bottom w:val="none" w:color="FFFFFF" w:sz="0"/>
          <w:right w:val="none" w:color="FFFFFF" w:sz="0"/>
          <w:insideH w:val="single" w:color="FFFFFF" w:sz="6"/>
          <w:insideV w:val="single" w:color="FFFFFF" w:sz="6"/>
        </w:tblBorders>
      </w:tblPr>
      <w:tblGrid>
        <w:gridCol w:w="1200"/>
        <w:gridCol w:w="7920"/>
      </w:tblGrid>
      <w:tr>
        <w:tc>
          <w:tcPr>
            <w:tcW w:type="dxa" w:w="1200"/>
            <w:shd w:fill="1A1A24" w:color="auto" w:val="clear"/>
            <w:tcMar>
              <w:top w:type="dxa" w:w="150"/>
              <w:left w:type="dxa" w:w="120"/>
              <w:bottom w:type="dxa" w:w="150"/>
              <w:right w:type="dxa" w:w="120"/>
            </w:tcMar>
            <w:vAlign w:val="center"/>
          </w:tcPr>
          <w:p>
            <w:pPr>
              <w:jc w:val="center"/>
            </w:pPr>
            <w:r>
              <w:rPr>
                <w:rFonts w:ascii="Cambria" w:cs="Cambria" w:eastAsia="Cambria" w:hAnsi="Cambria"/>
                <w:b/>
                <w:bCs/>
                <w:color w:val="C9922A"/>
                <w:sz w:val="40"/>
                <w:szCs w:val="40"/>
              </w:rPr>
              <w:t xml:space="preserve">01</w:t>
            </w:r>
          </w:p>
        </w:tc>
        <w:tc>
          <w:tcPr>
            <w:tcW w:type="dxa" w:w="7920"/>
            <w:shd w:fill="F4F1EA" w:color="auto" w:val="clear"/>
            <w:tcMar>
              <w:top w:type="dxa" w:w="150"/>
              <w:left w:type="dxa" w:w="200"/>
              <w:bottom w:type="dxa" w:w="150"/>
              <w:right w:type="dxa" w:w="200"/>
            </w:tcMar>
          </w:tcPr>
          <w:p>
            <w:pPr>
              <w:spacing w:after="60"/>
            </w:pPr>
            <w:r>
              <w:rPr>
                <w:rFonts w:ascii="Cambria" w:cs="Cambria" w:eastAsia="Cambria" w:hAnsi="Cambria"/>
                <w:b/>
                <w:bCs/>
                <w:color w:val="1A1A24"/>
                <w:sz w:val="24"/>
                <w:szCs w:val="24"/>
              </w:rPr>
              <w:t xml:space="preserve">The room itself</w:t>
            </w:r>
          </w:p>
          <w:p>
            <w:r>
              <w:rPr>
                <w:rFonts w:ascii="Calibri" w:cs="Calibri" w:eastAsia="Calibri" w:hAnsi="Calibri"/>
                <w:color w:val="23232E"/>
                <w:sz w:val="20"/>
                <w:szCs w:val="20"/>
              </w:rPr>
              <w:t xml:space="preserve">300 to 400 founders, CEOs, investors and advisors at the growth stage, which is to say the senior end of the market Investec’s private and business banking is built around. Gathered in a setting designed for trust rather than transaction. Naming the room puts the brand where those relationships actually tend to start.</w:t>
            </w:r>
          </w:p>
        </w:tc>
      </w:tr>
    </w:tbl>
    <w:p>
      <w:pPr>
        <w:spacing w:after="120"/>
      </w:pPr>
    </w:p>
    <w:tbl>
      <w:tblPr>
        <w:tblW w:type="dxa" w:w="9120"/>
        <w:tblBorders>
          <w:top w:val="none" w:color="FFFFFF" w:sz="0"/>
          <w:left w:val="none" w:color="FFFFFF" w:sz="0"/>
          <w:bottom w:val="none" w:color="FFFFFF" w:sz="0"/>
          <w:right w:val="none" w:color="FFFFFF" w:sz="0"/>
          <w:insideH w:val="single" w:color="FFFFFF" w:sz="6"/>
          <w:insideV w:val="single" w:color="FFFFFF" w:sz="6"/>
        </w:tblBorders>
      </w:tblPr>
      <w:tblGrid>
        <w:gridCol w:w="1200"/>
        <w:gridCol w:w="7920"/>
      </w:tblGrid>
      <w:tr>
        <w:tc>
          <w:tcPr>
            <w:tcW w:type="dxa" w:w="1200"/>
            <w:shd w:fill="1A1A24" w:color="auto" w:val="clear"/>
            <w:tcMar>
              <w:top w:type="dxa" w:w="150"/>
              <w:left w:type="dxa" w:w="120"/>
              <w:bottom w:type="dxa" w:w="150"/>
              <w:right w:type="dxa" w:w="120"/>
            </w:tcMar>
            <w:vAlign w:val="center"/>
          </w:tcPr>
          <w:p>
            <w:pPr>
              <w:jc w:val="center"/>
            </w:pPr>
            <w:r>
              <w:rPr>
                <w:rFonts w:ascii="Cambria" w:cs="Cambria" w:eastAsia="Cambria" w:hAnsi="Cambria"/>
                <w:b/>
                <w:bCs/>
                <w:color w:val="C9922A"/>
                <w:sz w:val="40"/>
                <w:szCs w:val="40"/>
              </w:rPr>
              <w:t xml:space="preserve">02</w:t>
            </w:r>
          </w:p>
        </w:tc>
        <w:tc>
          <w:tcPr>
            <w:tcW w:type="dxa" w:w="7920"/>
            <w:shd w:fill="F4F1EA" w:color="auto" w:val="clear"/>
            <w:tcMar>
              <w:top w:type="dxa" w:w="150"/>
              <w:left w:type="dxa" w:w="200"/>
              <w:bottom w:type="dxa" w:w="150"/>
              <w:right w:type="dxa" w:w="200"/>
            </w:tcMar>
          </w:tcPr>
          <w:p>
            <w:pPr>
              <w:spacing w:after="60"/>
            </w:pPr>
            <w:r>
              <w:rPr>
                <w:rFonts w:ascii="Cambria" w:cs="Cambria" w:eastAsia="Cambria" w:hAnsi="Cambria"/>
                <w:b/>
                <w:bCs/>
                <w:color w:val="1A1A24"/>
                <w:sz w:val="24"/>
                <w:szCs w:val="24"/>
              </w:rPr>
              <w:t xml:space="preserve">The next generation</w:t>
            </w:r>
          </w:p>
          <w:p>
            <w:r>
              <w:rPr>
                <w:rFonts w:ascii="Calibri" w:cs="Calibri" w:eastAsia="Calibri" w:hAnsi="Calibri"/>
                <w:color w:val="23232E"/>
                <w:sz w:val="20"/>
                <w:szCs w:val="20"/>
              </w:rPr>
              <w:t xml:space="preserve">A group of top matriculants from two Gauteng commerce-and-entrepreneurship Schools of Specialisation, hosted with the Gauteng Department of Education. Learners who chose this path rather than stumbled onto it. A day in this room, in front of operators who have built real businesses, is the kind of exposure that can shift what a seventeen-year-old believes is possible. It also sits precisely where Investec’s own corporate social investment already lives, in education and entrepreneurship, along a pipeline that runs from high school upward.</w:t>
            </w:r>
          </w:p>
        </w:tc>
      </w:tr>
    </w:tbl>
    <w:p>
      <w:r>
        <w:br w:type="page"/>
      </w:r>
    </w:p>
    <w:p>
      <w:pPr>
        <w:spacing w:after="60" w:before="340"/>
      </w:pPr>
      <w:r>
        <w:rPr>
          <w:rFonts w:ascii="Calibri" w:cs="Calibri" w:eastAsia="Calibri" w:hAnsi="Calibri"/>
          <w:b/>
          <w:bCs/>
          <w:color w:val="C9922A"/>
          <w:spacing w:val="40"/>
          <w:sz w:val="18"/>
          <w:szCs w:val="18"/>
        </w:rPr>
        <w:t xml:space="preserve">THE ALIGNMENT</w:t>
      </w:r>
    </w:p>
    <w:p>
      <w:pPr>
        <w:spacing w:after="140"/>
      </w:pPr>
      <w:r>
        <w:rPr>
          <w:rFonts w:ascii="Cambria" w:cs="Cambria" w:eastAsia="Cambria" w:hAnsi="Cambria"/>
          <w:b/>
          <w:bCs/>
          <w:color w:val="1A1A24"/>
          <w:sz w:val="30"/>
          <w:szCs w:val="30"/>
        </w:rPr>
        <w:t xml:space="preserve">Why this fits Investec</w:t>
      </w:r>
    </w:p>
    <w:p>
      <w:pPr>
        <w:spacing w:after="140" w:line="288"/>
        <w:jc w:val="both"/>
      </w:pPr>
      <w:r>
        <w:rPr>
          <w:rFonts w:ascii="Calibri" w:cs="Calibri" w:eastAsia="Calibri" w:hAnsi="Calibri"/>
          <w:color w:val="23232E"/>
          <w:sz w:val="22"/>
          <w:szCs w:val="22"/>
        </w:rPr>
        <w:t xml:space="preserve">Three things line up here, and they line up unusually well.</w:t>
      </w:r>
    </w:p>
    <w:p>
      <w:pPr>
        <w:pStyle w:val="ListParagraph"/>
        <w:numPr>
          <w:ilvl w:val="0"/>
          <w:numId w:val="2"/>
        </w:numPr>
        <w:spacing w:after="90" w:line="276"/>
      </w:pPr>
      <w:r>
        <w:rPr>
          <w:rFonts w:ascii="Calibri" w:cs="Calibri" w:eastAsia="Calibri" w:hAnsi="Calibri"/>
          <w:b/>
          <w:bCs/>
          <w:color w:val="1A1A24"/>
          <w:sz w:val="22"/>
          <w:szCs w:val="22"/>
        </w:rPr>
        <w:t xml:space="preserve">Brand. </w:t>
      </w:r>
      <w:r>
        <w:rPr>
          <w:rFonts w:ascii="Calibri" w:cs="Calibri" w:eastAsia="Calibri" w:hAnsi="Calibri"/>
          <w:color w:val="23232E"/>
          <w:sz w:val="22"/>
          <w:szCs w:val="22"/>
        </w:rPr>
        <w:t xml:space="preserve">Investec’s “Out of the Ordinary” positioning is built for a senior, high-trust audience. So is this room. A premium brand and a premium room reinforce each other, and neither one has to shout to do it.</w:t>
      </w:r>
    </w:p>
    <w:p>
      <w:pPr>
        <w:pStyle w:val="ListParagraph"/>
        <w:numPr>
          <w:ilvl w:val="0"/>
          <w:numId w:val="2"/>
        </w:numPr>
        <w:spacing w:after="90" w:line="276"/>
      </w:pPr>
      <w:r>
        <w:rPr>
          <w:rFonts w:ascii="Calibri" w:cs="Calibri" w:eastAsia="Calibri" w:hAnsi="Calibri"/>
          <w:b/>
          <w:bCs/>
          <w:color w:val="1A1A24"/>
          <w:sz w:val="22"/>
          <w:szCs w:val="22"/>
        </w:rPr>
        <w:t xml:space="preserve">Access. </w:t>
      </w:r>
      <w:r>
        <w:rPr>
          <w:rFonts w:ascii="Calibri" w:cs="Calibri" w:eastAsia="Calibri" w:hAnsi="Calibri"/>
          <w:color w:val="23232E"/>
          <w:sz w:val="22"/>
          <w:szCs w:val="22"/>
        </w:rPr>
        <w:t xml:space="preserve">The delegates are founders, CEOs, investors and advisors at the growth stage. That is close to the exact segment Investec’s private and business banking is designed for, from entrepreneurs to established professionals. The access is direct, not incidental.</w:t>
      </w:r>
    </w:p>
    <w:p>
      <w:pPr>
        <w:pStyle w:val="ListParagraph"/>
        <w:numPr>
          <w:ilvl w:val="0"/>
          <w:numId w:val="2"/>
        </w:numPr>
        <w:spacing w:after="90" w:line="276"/>
      </w:pPr>
      <w:r>
        <w:rPr>
          <w:rFonts w:ascii="Calibri" w:cs="Calibri" w:eastAsia="Calibri" w:hAnsi="Calibri"/>
          <w:b/>
          <w:bCs/>
          <w:color w:val="1A1A24"/>
          <w:sz w:val="22"/>
          <w:szCs w:val="22"/>
        </w:rPr>
        <w:t xml:space="preserve">Purpose. </w:t>
      </w:r>
      <w:r>
        <w:rPr>
          <w:rFonts w:ascii="Calibri" w:cs="Calibri" w:eastAsia="Calibri" w:hAnsi="Calibri"/>
          <w:color w:val="23232E"/>
          <w:sz w:val="22"/>
          <w:szCs w:val="22"/>
        </w:rPr>
        <w:t xml:space="preserve">Investec’s corporate social investment concentrates on education and entrepreneurship, and it is deliberately structured as a pipeline, from high school through tertiary to young adulthood. The matriculant stream slots straight into that logic. The bank does not have to stretch its story to explain why it is in the room.</w:t>
      </w:r>
    </w:p>
    <w:p>
      <w:pPr>
        <w:spacing w:after="120"/>
      </w:pPr>
    </w:p>
    <w:tbl>
      <w:tblPr>
        <w:tblW w:type="dxa" w:w="9120"/>
        <w:tblBorders>
          <w:top w:val="none" w:color="FFFFFF" w:sz="0"/>
          <w:left w:val="none" w:color="FFFFFF" w:sz="0"/>
          <w:bottom w:val="none" w:color="FFFFFF" w:sz="0"/>
          <w:right w:val="none" w:color="FFFFFF" w:sz="0"/>
          <w:insideH w:val="single" w:color="FFFFFF" w:sz="6"/>
          <w:insideV w:val="single" w:color="FFFFFF" w:sz="6"/>
        </w:tblBorders>
      </w:tblPr>
      <w:tblGrid>
        <w:gridCol w:w="2700"/>
        <w:gridCol w:w="6420"/>
      </w:tblGrid>
      <w:tr>
        <w:tc>
          <w:tcPr>
            <w:tcW w:type="dxa" w:w="2700"/>
            <w:shd w:fill="1A1A24" w:color="auto" w:val="clear"/>
            <w:tcMar>
              <w:top w:type="dxa" w:w="180"/>
              <w:left w:type="dxa" w:w="120"/>
              <w:bottom w:type="dxa" w:w="180"/>
              <w:right w:type="dxa" w:w="120"/>
            </w:tcMar>
            <w:vAlign w:val="center"/>
          </w:tcPr>
          <w:p>
            <w:pPr>
              <w:jc w:val="center"/>
            </w:pPr>
            <w:r>
              <w:rPr>
                <w:rFonts w:ascii="Cambria" w:cs="Cambria" w:eastAsia="Cambria" w:hAnsi="Cambria"/>
                <w:b/>
                <w:bCs/>
                <w:color w:val="C9922A"/>
                <w:sz w:val="46"/>
                <w:szCs w:val="46"/>
              </w:rPr>
              <w:t xml:space="preserve">70–80%</w:t>
            </w:r>
          </w:p>
        </w:tc>
        <w:tc>
          <w:tcPr>
            <w:tcW w:type="dxa" w:w="6420"/>
            <w:shd w:fill="F4F1EA" w:color="auto" w:val="clear"/>
            <w:tcMar>
              <w:top w:type="dxa" w:w="180"/>
              <w:left w:type="dxa" w:w="200"/>
              <w:bottom w:type="dxa" w:w="180"/>
              <w:right w:type="dxa" w:w="200"/>
            </w:tcMar>
            <w:vAlign w:val="center"/>
          </w:tcPr>
          <w:p>
            <w:r>
              <w:rPr>
                <w:rFonts w:ascii="Calibri" w:cs="Calibri" w:eastAsia="Calibri" w:hAnsi="Calibri"/>
                <w:color w:val="23232E"/>
                <w:sz w:val="21"/>
                <w:szCs w:val="21"/>
              </w:rPr>
              <w:t xml:space="preserve">of South African small businesses close within their first five years. That failure rate is the exact problem this room is built to chip away at, and the reason Build Resilience exists in the first place.</w:t>
            </w:r>
          </w:p>
        </w:tc>
      </w:tr>
    </w:tbl>
    <w:p>
      <w:r>
        <w:br w:type="page"/>
      </w:r>
    </w:p>
    <w:p>
      <w:pPr>
        <w:spacing w:after="60" w:before="340"/>
      </w:pPr>
      <w:r>
        <w:rPr>
          <w:rFonts w:ascii="Calibri" w:cs="Calibri" w:eastAsia="Calibri" w:hAnsi="Calibri"/>
          <w:b/>
          <w:bCs/>
          <w:color w:val="C9922A"/>
          <w:spacing w:val="40"/>
          <w:sz w:val="18"/>
          <w:szCs w:val="18"/>
        </w:rPr>
        <w:t xml:space="preserve">THE ASK</w:t>
      </w:r>
    </w:p>
    <w:p>
      <w:pPr>
        <w:spacing w:after="140"/>
      </w:pPr>
      <w:r>
        <w:rPr>
          <w:rFonts w:ascii="Cambria" w:cs="Cambria" w:eastAsia="Cambria" w:hAnsi="Cambria"/>
          <w:b/>
          <w:bCs/>
          <w:color w:val="1A1A24"/>
          <w:sz w:val="30"/>
          <w:szCs w:val="30"/>
        </w:rPr>
        <w:t xml:space="preserve">What we are asking Investec for</w:t>
      </w:r>
    </w:p>
    <w:p>
      <w:pPr>
        <w:spacing w:after="140" w:line="288"/>
        <w:jc w:val="both"/>
      </w:pPr>
      <w:r>
        <w:rPr>
          <w:rFonts w:ascii="Calibri" w:cs="Calibri" w:eastAsia="Calibri" w:hAnsi="Calibri"/>
          <w:color w:val="23232E"/>
          <w:sz w:val="22"/>
          <w:szCs w:val="22"/>
        </w:rPr>
        <w:t xml:space="preserve">We are asking Investec to come on board as Title sponsor of the Building Resilience Annual Conference 2026. This is our top tier, and only one is available.</w:t>
      </w:r>
    </w:p>
    <w:p>
      <w:pPr>
        <w:spacing w:after="140" w:line="288"/>
        <w:jc w:val="both"/>
      </w:pPr>
      <w:r>
        <w:rPr>
          <w:rFonts w:ascii="Calibri" w:cs="Calibri" w:eastAsia="Calibri" w:hAnsi="Calibri"/>
          <w:color w:val="23232E"/>
          <w:sz w:val="22"/>
          <w:szCs w:val="22"/>
        </w:rPr>
        <w:t xml:space="preserve">The Title sponsorship is R85,000. In return, Investec takes naming rights to the conference, a ten-minute address from the main stage, premium branding across all collateral, five VIP delegate tickets, logo placement across every digital platform, and a post-event impact report within five working days.</w:t>
      </w:r>
    </w:p>
    <w:p>
      <w:pPr>
        <w:spacing w:after="140" w:line="288"/>
        <w:jc w:val="both"/>
      </w:pPr>
      <w:r>
        <w:rPr>
          <w:rFonts w:ascii="Calibri" w:cs="Calibri" w:eastAsia="Calibri" w:hAnsi="Calibri"/>
          <w:color w:val="23232E"/>
          <w:sz w:val="22"/>
          <w:szCs w:val="22"/>
        </w:rPr>
        <w:t xml:space="preserve">If Investec would rather shape something bespoke, above the Title tier or blended with an in-kind contribution, we are open to that conversation. [Any bespoke package value to be confirmed together.]</w:t>
      </w:r>
    </w:p>
    <w:p>
      <w:pPr>
        <w:spacing w:after="60" w:before="340"/>
      </w:pPr>
      <w:r>
        <w:rPr>
          <w:rFonts w:ascii="Calibri" w:cs="Calibri" w:eastAsia="Calibri" w:hAnsi="Calibri"/>
          <w:b/>
          <w:bCs/>
          <w:color w:val="C9922A"/>
          <w:spacing w:val="40"/>
          <w:sz w:val="18"/>
          <w:szCs w:val="18"/>
        </w:rPr>
        <w:t xml:space="preserve">RECOGNITION</w:t>
      </w:r>
    </w:p>
    <w:p>
      <w:pPr>
        <w:spacing w:after="140"/>
      </w:pPr>
      <w:r>
        <w:rPr>
          <w:rFonts w:ascii="Cambria" w:cs="Cambria" w:eastAsia="Cambria" w:hAnsi="Cambria"/>
          <w:b/>
          <w:bCs/>
          <w:color w:val="1A1A24"/>
          <w:sz w:val="30"/>
          <w:szCs w:val="30"/>
        </w:rPr>
        <w:t xml:space="preserve">What Investec receives</w:t>
      </w:r>
    </w:p>
    <w:p>
      <w:pPr>
        <w:spacing w:after="130" w:line="288"/>
        <w:jc w:val="both"/>
      </w:pPr>
      <w:r>
        <w:rPr>
          <w:rFonts w:ascii="Calibri" w:cs="Calibri" w:eastAsia="Calibri" w:hAnsi="Calibri"/>
          <w:color w:val="23232E"/>
          <w:sz w:val="22"/>
          <w:szCs w:val="22"/>
        </w:rPr>
        <w:t xml:space="preserve">As Title sponsor, Investec is credited as the name behind the platform, across every layer of the event.</w:t>
      </w:r>
    </w:p>
    <w:p>
      <w:pPr>
        <w:pStyle w:val="ListParagraph"/>
        <w:numPr>
          <w:ilvl w:val="0"/>
          <w:numId w:val="2"/>
        </w:numPr>
        <w:spacing w:after="90" w:line="276"/>
      </w:pPr>
      <w:r>
        <w:rPr>
          <w:rFonts w:ascii="Calibri" w:cs="Calibri" w:eastAsia="Calibri" w:hAnsi="Calibri"/>
          <w:color w:val="23232E"/>
          <w:sz w:val="22"/>
          <w:szCs w:val="22"/>
        </w:rPr>
        <w:t xml:space="preserve">Naming rights to the conference, across all conference materials.</w:t>
      </w:r>
    </w:p>
    <w:p>
      <w:pPr>
        <w:pStyle w:val="ListParagraph"/>
        <w:numPr>
          <w:ilvl w:val="0"/>
          <w:numId w:val="2"/>
        </w:numPr>
        <w:spacing w:after="90" w:line="276"/>
      </w:pPr>
      <w:r>
        <w:rPr>
          <w:rFonts w:ascii="Calibri" w:cs="Calibri" w:eastAsia="Calibri" w:hAnsi="Calibri"/>
          <w:color w:val="23232E"/>
          <w:sz w:val="22"/>
          <w:szCs w:val="22"/>
        </w:rPr>
        <w:t xml:space="preserve">A ten-minute address from the main stage.</w:t>
      </w:r>
    </w:p>
    <w:p>
      <w:pPr>
        <w:pStyle w:val="ListParagraph"/>
        <w:numPr>
          <w:ilvl w:val="0"/>
          <w:numId w:val="2"/>
        </w:numPr>
        <w:spacing w:after="90" w:line="276"/>
      </w:pPr>
      <w:r>
        <w:rPr>
          <w:rFonts w:ascii="Calibri" w:cs="Calibri" w:eastAsia="Calibri" w:hAnsi="Calibri"/>
          <w:color w:val="23232E"/>
          <w:sz w:val="22"/>
          <w:szCs w:val="22"/>
        </w:rPr>
        <w:t xml:space="preserve">Premium branding across all event collateral, print and digital.</w:t>
      </w:r>
    </w:p>
    <w:p>
      <w:pPr>
        <w:pStyle w:val="ListParagraph"/>
        <w:numPr>
          <w:ilvl w:val="0"/>
          <w:numId w:val="2"/>
        </w:numPr>
        <w:spacing w:after="90" w:line="276"/>
      </w:pPr>
      <w:r>
        <w:rPr>
          <w:rFonts w:ascii="Calibri" w:cs="Calibri" w:eastAsia="Calibri" w:hAnsi="Calibri"/>
          <w:color w:val="23232E"/>
          <w:sz w:val="22"/>
          <w:szCs w:val="22"/>
        </w:rPr>
        <w:t xml:space="preserve">Five VIP delegate tickets for the conference.</w:t>
      </w:r>
    </w:p>
    <w:p>
      <w:pPr>
        <w:pStyle w:val="ListParagraph"/>
        <w:numPr>
          <w:ilvl w:val="0"/>
          <w:numId w:val="2"/>
        </w:numPr>
        <w:spacing w:after="90" w:line="276"/>
      </w:pPr>
      <w:r>
        <w:rPr>
          <w:rFonts w:ascii="Calibri" w:cs="Calibri" w:eastAsia="Calibri" w:hAnsi="Calibri"/>
          <w:color w:val="23232E"/>
          <w:sz w:val="22"/>
          <w:szCs w:val="22"/>
        </w:rPr>
        <w:t xml:space="preserve">Logo placement across all Build Resilience digital platforms and social channels.</w:t>
      </w:r>
    </w:p>
    <w:p>
      <w:pPr>
        <w:pStyle w:val="ListParagraph"/>
        <w:numPr>
          <w:ilvl w:val="0"/>
          <w:numId w:val="2"/>
        </w:numPr>
        <w:spacing w:after="90" w:line="276"/>
      </w:pPr>
      <w:r>
        <w:rPr>
          <w:rFonts w:ascii="Calibri" w:cs="Calibri" w:eastAsia="Calibri" w:hAnsi="Calibri"/>
          <w:color w:val="23232E"/>
          <w:sz w:val="22"/>
          <w:szCs w:val="22"/>
        </w:rPr>
        <w:t xml:space="preserve">Dedicated mentions across the weekly Speaker Talks series, so the Investec brand carries for months, not a single day.</w:t>
      </w:r>
    </w:p>
    <w:p>
      <w:pPr>
        <w:pStyle w:val="ListParagraph"/>
        <w:numPr>
          <w:ilvl w:val="0"/>
          <w:numId w:val="2"/>
        </w:numPr>
        <w:spacing w:after="90" w:line="276"/>
      </w:pPr>
      <w:r>
        <w:rPr>
          <w:rFonts w:ascii="Calibri" w:cs="Calibri" w:eastAsia="Calibri" w:hAnsi="Calibri"/>
          <w:color w:val="23232E"/>
          <w:sz w:val="22"/>
          <w:szCs w:val="22"/>
        </w:rPr>
        <w:t xml:space="preserve">A post-event impact report within five working days, covering delegate reach and the matriculant-development outcomes.</w:t>
      </w:r>
    </w:p>
    <w:p>
      <w:pPr>
        <w:pStyle w:val="ListParagraph"/>
        <w:numPr>
          <w:ilvl w:val="0"/>
          <w:numId w:val="2"/>
        </w:numPr>
        <w:spacing w:after="90" w:line="276"/>
      </w:pPr>
      <w:r>
        <w:rPr>
          <w:rFonts w:ascii="Calibri" w:cs="Calibri" w:eastAsia="Calibri" w:hAnsi="Calibri"/>
          <w:color w:val="23232E"/>
          <w:sz w:val="22"/>
          <w:szCs w:val="22"/>
        </w:rPr>
        <w:t xml:space="preserve">First right of refusal on the Title sponsorship of the 2027 conference.</w:t>
      </w:r>
    </w:p>
    <w:p>
      <w:pPr>
        <w:spacing w:after="60"/>
      </w:pPr>
    </w:p>
    <w:p>
      <w:pPr>
        <w:spacing w:after="60" w:line="288"/>
        <w:jc w:val="both"/>
      </w:pPr>
      <w:r>
        <w:rPr>
          <w:rFonts w:ascii="Calibri" w:cs="Calibri" w:eastAsia="Calibri" w:hAnsi="Calibri"/>
          <w:color w:val="23232E"/>
          <w:sz w:val="22"/>
          <w:szCs w:val="22"/>
        </w:rPr>
        <w:t xml:space="preserve">And then the part that does not really fit on a benefits list: a group of Gauteng matriculants hosted in the room, credited to Investec. A genuine development outcome, not a line item.</w:t>
      </w:r>
    </w:p>
    <w:p>
      <w:r>
        <w:br w:type="page"/>
      </w:r>
    </w:p>
    <w:p>
      <w:pPr>
        <w:spacing w:after="60" w:before="340"/>
      </w:pPr>
      <w:r>
        <w:rPr>
          <w:rFonts w:ascii="Calibri" w:cs="Calibri" w:eastAsia="Calibri" w:hAnsi="Calibri"/>
          <w:b/>
          <w:bCs/>
          <w:color w:val="C9922A"/>
          <w:spacing w:val="40"/>
          <w:sz w:val="18"/>
          <w:szCs w:val="18"/>
        </w:rPr>
        <w:t xml:space="preserve">THE FULL PICTURE</w:t>
      </w:r>
    </w:p>
    <w:p>
      <w:pPr>
        <w:spacing w:after="140"/>
      </w:pPr>
      <w:r>
        <w:rPr>
          <w:rFonts w:ascii="Cambria" w:cs="Cambria" w:eastAsia="Cambria" w:hAnsi="Cambria"/>
          <w:b/>
          <w:bCs/>
          <w:color w:val="1A1A24"/>
          <w:sz w:val="30"/>
          <w:szCs w:val="30"/>
        </w:rPr>
        <w:t xml:space="preserve">Sponsorship tiers</w:t>
      </w:r>
    </w:p>
    <w:p>
      <w:pPr>
        <w:spacing w:after="150" w:line="288"/>
        <w:jc w:val="both"/>
      </w:pPr>
      <w:r>
        <w:rPr>
          <w:rFonts w:ascii="Calibri" w:cs="Calibri" w:eastAsia="Calibri" w:hAnsi="Calibri"/>
          <w:color w:val="23232E"/>
          <w:sz w:val="22"/>
          <w:szCs w:val="22"/>
        </w:rPr>
        <w:t xml:space="preserve">The Title tier is the one we are proposing to Investec. The full menu is below, in case a different level fits better, or in case Investec would rather anchor the top tier and leave the rest of the room to others.</w:t>
      </w:r>
    </w:p>
    <w:tbl>
      <w:tblPr>
        <w:tblW w:type="dxa" w:w="9120"/>
        <w:tblBorders>
          <w:top w:val="single" w:color="D9D4C8" w:sz="4"/>
          <w:left w:val="single" w:color="D9D4C8" w:sz="4"/>
          <w:bottom w:val="single" w:color="D9D4C8" w:sz="4"/>
          <w:right w:val="single" w:color="D9D4C8" w:sz="4"/>
          <w:insideH w:val="single" w:color="D9D4C8" w:sz="4"/>
          <w:insideV w:val="single" w:color="D9D4C8" w:sz="4"/>
        </w:tblBorders>
      </w:tblPr>
      <w:tblGrid>
        <w:gridCol w:w="1500"/>
        <w:gridCol w:w="1650"/>
        <w:gridCol w:w="1250"/>
        <w:gridCol w:w="4720"/>
      </w:tblGrid>
      <w:tr>
        <w:trPr>
          <w:tblHeader/>
        </w:trPr>
        <w:tc>
          <w:tcPr>
            <w:tcW w:type="dxa" w:w="1500"/>
            <w:shd w:fill="1A1A24" w:color="auto" w:val="clear"/>
            <w:tcMar>
              <w:top w:type="dxa" w:w="90"/>
              <w:left w:type="dxa" w:w="130"/>
              <w:bottom w:type="dxa" w:w="90"/>
              <w:right w:type="dxa" w:w="130"/>
            </w:tcMar>
          </w:tcPr>
          <w:p>
            <w:pPr>
              <w:jc w:val="left"/>
            </w:pPr>
            <w:r>
              <w:rPr>
                <w:rFonts w:ascii="Calibri" w:cs="Calibri" w:eastAsia="Calibri" w:hAnsi="Calibri"/>
                <w:b/>
                <w:bCs/>
                <w:color w:val="FFFFFF"/>
                <w:sz w:val="19"/>
                <w:szCs w:val="19"/>
              </w:rPr>
              <w:t xml:space="preserve">Tier</w:t>
            </w:r>
          </w:p>
        </w:tc>
        <w:tc>
          <w:tcPr>
            <w:tcW w:type="dxa" w:w="1650"/>
            <w:shd w:fill="1A1A24" w:color="auto" w:val="clear"/>
            <w:tcMar>
              <w:top w:type="dxa" w:w="90"/>
              <w:left w:type="dxa" w:w="130"/>
              <w:bottom w:type="dxa" w:w="90"/>
              <w:right w:type="dxa" w:w="130"/>
            </w:tcMar>
          </w:tcPr>
          <w:p>
            <w:pPr>
              <w:jc w:val="left"/>
            </w:pPr>
            <w:r>
              <w:rPr>
                <w:rFonts w:ascii="Calibri" w:cs="Calibri" w:eastAsia="Calibri" w:hAnsi="Calibri"/>
                <w:b/>
                <w:bCs/>
                <w:color w:val="FFFFFF"/>
                <w:sz w:val="19"/>
                <w:szCs w:val="19"/>
              </w:rPr>
              <w:t xml:space="preserve">Investment</w:t>
            </w:r>
          </w:p>
        </w:tc>
        <w:tc>
          <w:tcPr>
            <w:tcW w:type="dxa" w:w="1250"/>
            <w:shd w:fill="1A1A24" w:color="auto" w:val="clear"/>
            <w:tcMar>
              <w:top w:type="dxa" w:w="90"/>
              <w:left w:type="dxa" w:w="130"/>
              <w:bottom w:type="dxa" w:w="90"/>
              <w:right w:type="dxa" w:w="130"/>
            </w:tcMar>
          </w:tcPr>
          <w:p>
            <w:pPr>
              <w:jc w:val="center"/>
            </w:pPr>
            <w:r>
              <w:rPr>
                <w:rFonts w:ascii="Calibri" w:cs="Calibri" w:eastAsia="Calibri" w:hAnsi="Calibri"/>
                <w:b/>
                <w:bCs/>
                <w:color w:val="FFFFFF"/>
                <w:sz w:val="19"/>
                <w:szCs w:val="19"/>
              </w:rPr>
              <w:t xml:space="preserve">Available</w:t>
            </w:r>
          </w:p>
        </w:tc>
        <w:tc>
          <w:tcPr>
            <w:tcW w:type="dxa" w:w="4720"/>
            <w:shd w:fill="1A1A24" w:color="auto" w:val="clear"/>
            <w:tcMar>
              <w:top w:type="dxa" w:w="90"/>
              <w:left w:type="dxa" w:w="130"/>
              <w:bottom w:type="dxa" w:w="90"/>
              <w:right w:type="dxa" w:w="130"/>
            </w:tcMar>
          </w:tcPr>
          <w:p>
            <w:pPr>
              <w:jc w:val="left"/>
            </w:pPr>
            <w:r>
              <w:rPr>
                <w:rFonts w:ascii="Calibri" w:cs="Calibri" w:eastAsia="Calibri" w:hAnsi="Calibri"/>
                <w:b/>
                <w:bCs/>
                <w:color w:val="FFFFFF"/>
                <w:sz w:val="19"/>
                <w:szCs w:val="19"/>
              </w:rPr>
              <w:t xml:space="preserve">What it includes</w:t>
            </w:r>
          </w:p>
        </w:tc>
      </w:tr>
      <w:tr>
        <w:tc>
          <w:tcPr>
            <w:tcW w:type="dxa" w:w="1500"/>
            <w:shd w:fill="F3E6CC" w:color="auto" w:val="clear"/>
            <w:tcMar>
              <w:top w:type="dxa" w:w="90"/>
              <w:left w:type="dxa" w:w="130"/>
              <w:bottom w:type="dxa" w:w="90"/>
              <w:right w:type="dxa" w:w="130"/>
            </w:tcMar>
          </w:tcPr>
          <w:p>
            <w:pPr>
              <w:jc w:val="left"/>
            </w:pPr>
            <w:r>
              <w:rPr>
                <w:rFonts w:ascii="Calibri" w:cs="Calibri" w:eastAsia="Calibri" w:hAnsi="Calibri"/>
                <w:b/>
                <w:bCs/>
                <w:color w:val="1A1A24"/>
                <w:sz w:val="20"/>
                <w:szCs w:val="20"/>
              </w:rPr>
              <w:t xml:space="preserve">Title / Platinum</w:t>
            </w:r>
          </w:p>
        </w:tc>
        <w:tc>
          <w:tcPr>
            <w:tcW w:type="dxa" w:w="1650"/>
            <w:shd w:fill="F3E6CC" w:color="auto" w:val="clear"/>
            <w:tcMar>
              <w:top w:type="dxa" w:w="90"/>
              <w:left w:type="dxa" w:w="130"/>
              <w:bottom w:type="dxa" w:w="90"/>
              <w:right w:type="dxa" w:w="130"/>
            </w:tcMar>
          </w:tcPr>
          <w:p>
            <w:pPr>
              <w:jc w:val="left"/>
            </w:pPr>
            <w:r>
              <w:rPr>
                <w:rFonts w:ascii="Calibri" w:cs="Calibri" w:eastAsia="Calibri" w:hAnsi="Calibri"/>
                <w:b/>
                <w:bCs/>
                <w:color w:val="C9922A"/>
                <w:sz w:val="20"/>
                <w:szCs w:val="20"/>
              </w:rPr>
              <w:t xml:space="preserve">R85,000</w:t>
            </w:r>
          </w:p>
        </w:tc>
        <w:tc>
          <w:tcPr>
            <w:tcW w:type="dxa" w:w="1250"/>
            <w:shd w:fill="F3E6CC" w:color="auto" w:val="clear"/>
            <w:tcMar>
              <w:top w:type="dxa" w:w="90"/>
              <w:left w:type="dxa" w:w="130"/>
              <w:bottom w:type="dxa" w:w="90"/>
              <w:right w:type="dxa" w:w="130"/>
            </w:tcMar>
          </w:tcPr>
          <w:p>
            <w:pPr>
              <w:jc w:val="center"/>
            </w:pPr>
            <w:r>
              <w:rPr>
                <w:rFonts w:ascii="Calibri" w:cs="Calibri" w:eastAsia="Calibri" w:hAnsi="Calibri"/>
                <w:b w:val="false"/>
                <w:bCs w:val="false"/>
                <w:color w:val="23232E"/>
                <w:sz w:val="20"/>
                <w:szCs w:val="20"/>
              </w:rPr>
              <w:t xml:space="preserve">1</w:t>
            </w:r>
          </w:p>
        </w:tc>
        <w:tc>
          <w:tcPr>
            <w:tcW w:type="dxa" w:w="4720"/>
            <w:shd w:fill="F3E6CC" w:color="auto" w:val="clear"/>
            <w:tcMar>
              <w:top w:type="dxa" w:w="90"/>
              <w:left w:type="dxa" w:w="130"/>
              <w:bottom w:type="dxa" w:w="90"/>
              <w:right w:type="dxa" w:w="130"/>
            </w:tcMar>
          </w:tcPr>
          <w:p>
            <w:pPr>
              <w:jc w:val="left"/>
            </w:pPr>
            <w:r>
              <w:rPr>
                <w:rFonts w:ascii="Calibri" w:cs="Calibri" w:eastAsia="Calibri" w:hAnsi="Calibri"/>
                <w:b w:val="false"/>
                <w:bCs w:val="false"/>
                <w:color w:val="23232E"/>
                <w:sz w:val="18"/>
                <w:szCs w:val="18"/>
              </w:rPr>
              <w:t xml:space="preserve">Naming rights, a 10-minute stage address, premium branding on all collateral, 5 VIP tickets, logo on all digital, impact report within 5 working days.</w:t>
            </w:r>
          </w:p>
        </w:tc>
      </w:tr>
      <w:tr>
        <w:tc>
          <w:tcPr>
            <w:tcW w:type="dxa" w:w="150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Gold</w:t>
            </w:r>
          </w:p>
        </w:tc>
        <w:tc>
          <w:tcPr>
            <w:tcW w:type="dxa" w:w="165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R40,000</w:t>
            </w:r>
          </w:p>
        </w:tc>
        <w:tc>
          <w:tcPr>
            <w:tcW w:type="dxa" w:w="1250"/>
            <w:shd w:fill="FFFFFF" w:color="auto" w:val="clear"/>
            <w:tcMar>
              <w:top w:type="dxa" w:w="90"/>
              <w:left w:type="dxa" w:w="130"/>
              <w:bottom w:type="dxa" w:w="90"/>
              <w:right w:type="dxa" w:w="130"/>
            </w:tcMar>
          </w:tcPr>
          <w:p>
            <w:pPr>
              <w:jc w:val="center"/>
            </w:pPr>
            <w:r>
              <w:rPr>
                <w:rFonts w:ascii="Calibri" w:cs="Calibri" w:eastAsia="Calibri" w:hAnsi="Calibri"/>
                <w:b w:val="false"/>
                <w:bCs w:val="false"/>
                <w:color w:val="23232E"/>
                <w:sz w:val="20"/>
                <w:szCs w:val="20"/>
              </w:rPr>
              <w:t xml:space="preserve">2</w:t>
            </w:r>
          </w:p>
        </w:tc>
        <w:tc>
          <w:tcPr>
            <w:tcW w:type="dxa" w:w="4720"/>
            <w:shd w:fill="FFFFFF" w:color="auto" w:val="clear"/>
            <w:tcMar>
              <w:top w:type="dxa" w:w="90"/>
              <w:left w:type="dxa" w:w="130"/>
              <w:bottom w:type="dxa" w:w="90"/>
              <w:right w:type="dxa" w:w="130"/>
            </w:tcMar>
          </w:tcPr>
          <w:p>
            <w:pPr>
              <w:jc w:val="left"/>
            </w:pPr>
            <w:r>
              <w:rPr>
                <w:rFonts w:ascii="Calibri" w:cs="Calibri" w:eastAsia="Calibri" w:hAnsi="Calibri"/>
                <w:b w:val="false"/>
                <w:bCs w:val="false"/>
                <w:color w:val="23232E"/>
                <w:sz w:val="18"/>
                <w:szCs w:val="18"/>
              </w:rPr>
              <w:t xml:space="preserve">Stage and programme logo, a 3x3m exhibitor stall, 3 VIP tickets, 3 social mentions.</w:t>
            </w:r>
          </w:p>
        </w:tc>
      </w:tr>
      <w:tr>
        <w:tc>
          <w:tcPr>
            <w:tcW w:type="dxa" w:w="150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Silver</w:t>
            </w:r>
          </w:p>
        </w:tc>
        <w:tc>
          <w:tcPr>
            <w:tcW w:type="dxa" w:w="165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R20,000</w:t>
            </w:r>
          </w:p>
        </w:tc>
        <w:tc>
          <w:tcPr>
            <w:tcW w:type="dxa" w:w="1250"/>
            <w:shd w:fill="FFFFFF" w:color="auto" w:val="clear"/>
            <w:tcMar>
              <w:top w:type="dxa" w:w="90"/>
              <w:left w:type="dxa" w:w="130"/>
              <w:bottom w:type="dxa" w:w="90"/>
              <w:right w:type="dxa" w:w="130"/>
            </w:tcMar>
          </w:tcPr>
          <w:p>
            <w:pPr>
              <w:jc w:val="center"/>
            </w:pPr>
            <w:r>
              <w:rPr>
                <w:rFonts w:ascii="Calibri" w:cs="Calibri" w:eastAsia="Calibri" w:hAnsi="Calibri"/>
                <w:b w:val="false"/>
                <w:bCs w:val="false"/>
                <w:color w:val="23232E"/>
                <w:sz w:val="20"/>
                <w:szCs w:val="20"/>
              </w:rPr>
              <w:t xml:space="preserve">3</w:t>
            </w:r>
          </w:p>
        </w:tc>
        <w:tc>
          <w:tcPr>
            <w:tcW w:type="dxa" w:w="4720"/>
            <w:shd w:fill="FFFFFF" w:color="auto" w:val="clear"/>
            <w:tcMar>
              <w:top w:type="dxa" w:w="90"/>
              <w:left w:type="dxa" w:w="130"/>
              <w:bottom w:type="dxa" w:w="90"/>
              <w:right w:type="dxa" w:w="130"/>
            </w:tcMar>
          </w:tcPr>
          <w:p>
            <w:pPr>
              <w:jc w:val="left"/>
            </w:pPr>
            <w:r>
              <w:rPr>
                <w:rFonts w:ascii="Calibri" w:cs="Calibri" w:eastAsia="Calibri" w:hAnsi="Calibri"/>
                <w:b w:val="false"/>
                <w:bCs w:val="false"/>
                <w:color w:val="23232E"/>
                <w:sz w:val="18"/>
                <w:szCs w:val="18"/>
              </w:rPr>
              <w:t xml:space="preserve">Programme and backdrop logo, 2 standard tickets, an event-day social mention.</w:t>
            </w:r>
          </w:p>
        </w:tc>
      </w:tr>
      <w:tr>
        <w:tc>
          <w:tcPr>
            <w:tcW w:type="dxa" w:w="150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Bronze</w:t>
            </w:r>
          </w:p>
        </w:tc>
        <w:tc>
          <w:tcPr>
            <w:tcW w:type="dxa" w:w="165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R8,000</w:t>
            </w:r>
          </w:p>
        </w:tc>
        <w:tc>
          <w:tcPr>
            <w:tcW w:type="dxa" w:w="1250"/>
            <w:shd w:fill="FFFFFF" w:color="auto" w:val="clear"/>
            <w:tcMar>
              <w:top w:type="dxa" w:w="90"/>
              <w:left w:type="dxa" w:w="130"/>
              <w:bottom w:type="dxa" w:w="90"/>
              <w:right w:type="dxa" w:w="130"/>
            </w:tcMar>
          </w:tcPr>
          <w:p>
            <w:pPr>
              <w:jc w:val="center"/>
            </w:pPr>
            <w:r>
              <w:rPr>
                <w:rFonts w:ascii="Calibri" w:cs="Calibri" w:eastAsia="Calibri" w:hAnsi="Calibri"/>
                <w:b w:val="false"/>
                <w:bCs w:val="false"/>
                <w:color w:val="23232E"/>
                <w:sz w:val="20"/>
                <w:szCs w:val="20"/>
              </w:rPr>
              <w:t xml:space="preserve">4</w:t>
            </w:r>
          </w:p>
        </w:tc>
        <w:tc>
          <w:tcPr>
            <w:tcW w:type="dxa" w:w="4720"/>
            <w:shd w:fill="FFFFFF" w:color="auto" w:val="clear"/>
            <w:tcMar>
              <w:top w:type="dxa" w:w="90"/>
              <w:left w:type="dxa" w:w="130"/>
              <w:bottom w:type="dxa" w:w="90"/>
              <w:right w:type="dxa" w:w="130"/>
            </w:tcMar>
          </w:tcPr>
          <w:p>
            <w:pPr>
              <w:jc w:val="left"/>
            </w:pPr>
            <w:r>
              <w:rPr>
                <w:rFonts w:ascii="Calibri" w:cs="Calibri" w:eastAsia="Calibri" w:hAnsi="Calibri"/>
                <w:b w:val="false"/>
                <w:bCs w:val="false"/>
                <w:color w:val="23232E"/>
                <w:sz w:val="18"/>
                <w:szCs w:val="18"/>
              </w:rPr>
              <w:t xml:space="preserve">Programme logo, 1 standard ticket, a stage acknowledgement.</w:t>
            </w:r>
          </w:p>
        </w:tc>
      </w:tr>
      <w:tr>
        <w:tc>
          <w:tcPr>
            <w:tcW w:type="dxa" w:w="150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In-kind / Supporting</w:t>
            </w:r>
          </w:p>
        </w:tc>
        <w:tc>
          <w:tcPr>
            <w:tcW w:type="dxa" w:w="1650"/>
            <w:shd w:fill="FFFFFF" w:color="auto" w:val="clear"/>
            <w:tcMar>
              <w:top w:type="dxa" w:w="90"/>
              <w:left w:type="dxa" w:w="130"/>
              <w:bottom w:type="dxa" w:w="90"/>
              <w:right w:type="dxa" w:w="130"/>
            </w:tcMar>
          </w:tcPr>
          <w:p>
            <w:pPr>
              <w:jc w:val="left"/>
            </w:pPr>
            <w:r>
              <w:rPr>
                <w:rFonts w:ascii="Calibri" w:cs="Calibri" w:eastAsia="Calibri" w:hAnsi="Calibri"/>
                <w:b/>
                <w:bCs/>
                <w:color w:val="23232E"/>
                <w:sz w:val="20"/>
                <w:szCs w:val="20"/>
              </w:rPr>
              <w:t xml:space="preserve">Contribution-based</w:t>
            </w:r>
          </w:p>
        </w:tc>
        <w:tc>
          <w:tcPr>
            <w:tcW w:type="dxa" w:w="1250"/>
            <w:shd w:fill="FFFFFF" w:color="auto" w:val="clear"/>
            <w:tcMar>
              <w:top w:type="dxa" w:w="90"/>
              <w:left w:type="dxa" w:w="130"/>
              <w:bottom w:type="dxa" w:w="90"/>
              <w:right w:type="dxa" w:w="130"/>
            </w:tcMar>
          </w:tcPr>
          <w:p>
            <w:pPr>
              <w:jc w:val="center"/>
            </w:pPr>
            <w:r>
              <w:rPr>
                <w:rFonts w:ascii="Calibri" w:cs="Calibri" w:eastAsia="Calibri" w:hAnsi="Calibri"/>
                <w:b w:val="false"/>
                <w:bCs w:val="false"/>
                <w:color w:val="23232E"/>
                <w:sz w:val="20"/>
                <w:szCs w:val="20"/>
              </w:rPr>
              <w:t xml:space="preserve">–</w:t>
            </w:r>
          </w:p>
        </w:tc>
        <w:tc>
          <w:tcPr>
            <w:tcW w:type="dxa" w:w="4720"/>
            <w:shd w:fill="FFFFFF" w:color="auto" w:val="clear"/>
            <w:tcMar>
              <w:top w:type="dxa" w:w="90"/>
              <w:left w:type="dxa" w:w="130"/>
              <w:bottom w:type="dxa" w:w="90"/>
              <w:right w:type="dxa" w:w="130"/>
            </w:tcMar>
          </w:tcPr>
          <w:p>
            <w:pPr>
              <w:jc w:val="left"/>
            </w:pPr>
            <w:r>
              <w:rPr>
                <w:rFonts w:ascii="Calibri" w:cs="Calibri" w:eastAsia="Calibri" w:hAnsi="Calibri"/>
                <w:b w:val="false"/>
                <w:bCs w:val="false"/>
                <w:color w:val="23232E"/>
                <w:sz w:val="18"/>
                <w:szCs w:val="18"/>
              </w:rPr>
              <w:t xml:space="preserve">Acknowledged from the stage and in the programme.</w:t>
            </w:r>
          </w:p>
        </w:tc>
      </w:tr>
    </w:tbl>
    <w:p>
      <w:pPr>
        <w:spacing w:after="120"/>
      </w:pPr>
    </w:p>
    <w:p>
      <w:pPr>
        <w:spacing w:after="60" w:line="288"/>
        <w:jc w:val="both"/>
      </w:pPr>
      <w:r>
        <w:rPr>
          <w:rFonts w:ascii="Calibri" w:cs="Calibri" w:eastAsia="Calibri" w:hAnsi="Calibri"/>
          <w:color w:val="23232E"/>
          <w:sz w:val="22"/>
          <w:szCs w:val="22"/>
        </w:rPr>
        <w:t xml:space="preserve">In-kind and supporting partners are welcome too. These are contribution-based, and are acknowledged from the stage and in the programme.</w:t>
      </w:r>
    </w:p>
    <w:p>
      <w:r>
        <w:br w:type="page"/>
      </w:r>
    </w:p>
    <w:p>
      <w:pPr>
        <w:spacing w:after="60" w:before="340"/>
      </w:pPr>
      <w:r>
        <w:rPr>
          <w:rFonts w:ascii="Calibri" w:cs="Calibri" w:eastAsia="Calibri" w:hAnsi="Calibri"/>
          <w:b/>
          <w:bCs/>
          <w:color w:val="C9922A"/>
          <w:spacing w:val="40"/>
          <w:sz w:val="18"/>
          <w:szCs w:val="18"/>
        </w:rPr>
        <w:t xml:space="preserve">THE PROPOSED ROLE-PLAYERS</w:t>
      </w:r>
    </w:p>
    <w:p>
      <w:pPr>
        <w:spacing w:after="140"/>
      </w:pPr>
      <w:r>
        <w:rPr>
          <w:rFonts w:ascii="Cambria" w:cs="Cambria" w:eastAsia="Cambria" w:hAnsi="Cambria"/>
          <w:b/>
          <w:bCs/>
          <w:color w:val="1A1A24"/>
          <w:sz w:val="30"/>
          <w:szCs w:val="30"/>
        </w:rPr>
        <w:t xml:space="preserve">Who we would convene</w:t>
      </w:r>
    </w:p>
    <w:p>
      <w:pPr>
        <w:spacing w:after="130" w:line="276"/>
      </w:pPr>
      <w:r>
        <w:rPr>
          <w:rFonts w:ascii="Calibri" w:cs="Calibri" w:eastAsia="Calibri" w:hAnsi="Calibri"/>
          <w:b/>
          <w:bCs/>
          <w:color w:val="1A1A24"/>
          <w:sz w:val="22"/>
          <w:szCs w:val="22"/>
        </w:rPr>
        <w:t xml:space="preserve">Build Resilience (Pty) Ltd.  </w:t>
      </w:r>
      <w:r>
        <w:rPr>
          <w:rFonts w:ascii="Calibri" w:cs="Calibri" w:eastAsia="Calibri" w:hAnsi="Calibri"/>
          <w:color w:val="23232E"/>
          <w:sz w:val="22"/>
          <w:szCs w:val="22"/>
        </w:rPr>
        <w:t xml:space="preserve">The Gauteng company designing and producing the conference, and the year-round content programme around it. Wholly owned by Kingdom Faith Worship Centre NPC (PBO status pending).</w:t>
      </w:r>
    </w:p>
    <w:p>
      <w:pPr>
        <w:spacing w:after="130" w:line="276"/>
      </w:pPr>
      <w:r>
        <w:rPr>
          <w:rFonts w:ascii="Calibri" w:cs="Calibri" w:eastAsia="Calibri" w:hAnsi="Calibri"/>
          <w:b/>
          <w:bCs/>
          <w:color w:val="1A1A24"/>
          <w:sz w:val="22"/>
          <w:szCs w:val="22"/>
        </w:rPr>
        <w:t xml:space="preserve">Tembisa Commerce and Entrepreneurship School of Specialisation.  </w:t>
      </w:r>
      <w:r>
        <w:rPr>
          <w:rFonts w:ascii="Calibri" w:cs="Calibri" w:eastAsia="Calibri" w:hAnsi="Calibri"/>
          <w:color w:val="23232E"/>
          <w:sz w:val="22"/>
          <w:szCs w:val="22"/>
        </w:rPr>
        <w:t xml:space="preserve">Ekurhuleni’s first entrepreneurship-focused School of Specialisation, teaching learners commerce, finance, hospitality and tourism through practical, venture-based facilities.</w:t>
      </w:r>
    </w:p>
    <w:p>
      <w:pPr>
        <w:spacing w:after="130" w:line="276"/>
      </w:pPr>
      <w:r>
        <w:rPr>
          <w:rFonts w:ascii="Calibri" w:cs="Calibri" w:eastAsia="Calibri" w:hAnsi="Calibri"/>
          <w:b/>
          <w:bCs/>
          <w:color w:val="1A1A24"/>
          <w:sz w:val="22"/>
          <w:szCs w:val="22"/>
        </w:rPr>
        <w:t xml:space="preserve">Oosrand Commerce and Entrepreneurship School of Specialisation.  </w:t>
      </w:r>
      <w:r>
        <w:rPr>
          <w:rFonts w:ascii="Calibri" w:cs="Calibri" w:eastAsia="Calibri" w:hAnsi="Calibri"/>
          <w:color w:val="23232E"/>
          <w:sz w:val="22"/>
          <w:szCs w:val="22"/>
        </w:rPr>
        <w:t xml:space="preserve">Launched in 2023 in Reiger Park, Boksburg, focused on finance, tourism, hospitality and entrepreneurship, with learners running real ventures on the school premises.</w:t>
      </w:r>
    </w:p>
    <w:p>
      <w:pPr>
        <w:spacing w:after="130" w:line="276"/>
      </w:pPr>
      <w:r>
        <w:rPr>
          <w:rFonts w:ascii="Calibri" w:cs="Calibri" w:eastAsia="Calibri" w:hAnsi="Calibri"/>
          <w:b/>
          <w:bCs/>
          <w:color w:val="1A1A24"/>
          <w:sz w:val="22"/>
          <w:szCs w:val="22"/>
        </w:rPr>
        <w:t xml:space="preserve">Gauteng Department of Education.  </w:t>
      </w:r>
      <w:r>
        <w:rPr>
          <w:rFonts w:ascii="Calibri" w:cs="Calibri" w:eastAsia="Calibri" w:hAnsi="Calibri"/>
          <w:color w:val="23232E"/>
          <w:sz w:val="22"/>
          <w:szCs w:val="22"/>
        </w:rPr>
        <w:t xml:space="preserve">The provincial partner behind the Schools of Specialisation, and our proposed partner for selecting and hosting the matriculants.</w:t>
      </w:r>
    </w:p>
    <w:p>
      <w:pPr>
        <w:spacing w:after="60" w:before="340"/>
      </w:pPr>
      <w:r>
        <w:rPr>
          <w:rFonts w:ascii="Calibri" w:cs="Calibri" w:eastAsia="Calibri" w:hAnsi="Calibri"/>
          <w:b/>
          <w:bCs/>
          <w:color w:val="C9922A"/>
          <w:spacing w:val="40"/>
          <w:sz w:val="18"/>
          <w:szCs w:val="18"/>
        </w:rPr>
        <w:t xml:space="preserve">NEXT STEPS</w:t>
      </w:r>
    </w:p>
    <w:p>
      <w:pPr>
        <w:spacing w:after="140"/>
      </w:pPr>
      <w:r>
        <w:rPr>
          <w:rFonts w:ascii="Cambria" w:cs="Cambria" w:eastAsia="Cambria" w:hAnsi="Cambria"/>
          <w:b/>
          <w:bCs/>
          <w:color w:val="1A1A24"/>
          <w:sz w:val="30"/>
          <w:szCs w:val="30"/>
        </w:rPr>
        <w:t xml:space="preserve">How we take this forward</w:t>
      </w:r>
    </w:p>
    <w:p>
      <w:pPr>
        <w:pStyle w:val="ListParagraph"/>
        <w:numPr>
          <w:ilvl w:val="0"/>
          <w:numId w:val="3"/>
        </w:numPr>
        <w:spacing w:after="90" w:line="276"/>
      </w:pPr>
      <w:r>
        <w:rPr>
          <w:rFonts w:ascii="Calibri" w:cs="Calibri" w:eastAsia="Calibri" w:hAnsi="Calibri"/>
          <w:color w:val="23232E"/>
          <w:sz w:val="22"/>
          <w:szCs w:val="22"/>
        </w:rPr>
        <w:t xml:space="preserve">A first conversation to walk Investec through the Title sponsorship and answer whatever questions come up.</w:t>
      </w:r>
    </w:p>
    <w:p>
      <w:pPr>
        <w:pStyle w:val="ListParagraph"/>
        <w:numPr>
          <w:ilvl w:val="0"/>
          <w:numId w:val="3"/>
        </w:numPr>
        <w:spacing w:after="90" w:line="276"/>
      </w:pPr>
      <w:r>
        <w:rPr>
          <w:rFonts w:ascii="Calibri" w:cs="Calibri" w:eastAsia="Calibri" w:hAnsi="Calibri"/>
          <w:color w:val="23232E"/>
          <w:sz w:val="22"/>
          <w:szCs w:val="22"/>
        </w:rPr>
        <w:t xml:space="preserve">Investec confirms the sponsorship and the tier.</w:t>
      </w:r>
    </w:p>
    <w:p>
      <w:pPr>
        <w:pStyle w:val="ListParagraph"/>
        <w:numPr>
          <w:ilvl w:val="0"/>
          <w:numId w:val="3"/>
        </w:numPr>
        <w:spacing w:after="90" w:line="276"/>
      </w:pPr>
      <w:r>
        <w:rPr>
          <w:rFonts w:ascii="Calibri" w:cs="Calibri" w:eastAsia="Calibri" w:hAnsi="Calibri"/>
          <w:color w:val="23232E"/>
          <w:sz w:val="22"/>
          <w:szCs w:val="22"/>
        </w:rPr>
        <w:t xml:space="preserve">We shape the matriculant stream together with the Gauteng Department of Education and the two schools.</w:t>
      </w:r>
    </w:p>
    <w:p>
      <w:pPr>
        <w:pStyle w:val="ListParagraph"/>
        <w:numPr>
          <w:ilvl w:val="0"/>
          <w:numId w:val="3"/>
        </w:numPr>
        <w:spacing w:after="90" w:line="276"/>
      </w:pPr>
      <w:r>
        <w:rPr>
          <w:rFonts w:ascii="Calibri" w:cs="Calibri" w:eastAsia="Calibri" w:hAnsi="Calibri"/>
          <w:color w:val="23232E"/>
          <w:sz w:val="22"/>
          <w:szCs w:val="22"/>
        </w:rPr>
        <w:t xml:space="preserve">We settle the detail and put it in a simple sponsorship agreement.</w:t>
      </w:r>
    </w:p>
    <w:p>
      <w:pPr>
        <w:pStyle w:val="ListParagraph"/>
        <w:numPr>
          <w:ilvl w:val="0"/>
          <w:numId w:val="3"/>
        </w:numPr>
        <w:spacing w:after="90" w:line="276"/>
      </w:pPr>
      <w:r>
        <w:rPr>
          <w:rFonts w:ascii="Calibri" w:cs="Calibri" w:eastAsia="Calibri" w:hAnsi="Calibri"/>
          <w:color w:val="23232E"/>
          <w:sz w:val="22"/>
          <w:szCs w:val="22"/>
        </w:rPr>
        <w:t xml:space="preserve">Benefits activate immediately. Investec branding goes live across the pre-event content series straight away, so the name is working long before 29 October.</w:t>
      </w:r>
    </w:p>
    <w:p>
      <w:pPr>
        <w:spacing w:after="200"/>
      </w:pPr>
    </w:p>
    <w:p>
      <w:pPr>
        <w:pBdr>
          <w:top w:val="single" w:color="C9922A" w:sz="14"/>
        </w:pBdr>
        <w:spacing w:after="200" w:before="200"/>
      </w:pPr>
    </w:p>
    <w:p>
      <w:pPr>
        <w:spacing w:after="80"/>
      </w:pPr>
      <w:r>
        <w:rPr>
          <w:rFonts w:ascii="Cambria" w:cs="Cambria" w:eastAsia="Cambria" w:hAnsi="Cambria"/>
          <w:b/>
          <w:bCs/>
          <w:color w:val="1A1A24"/>
          <w:sz w:val="40"/>
          <w:szCs w:val="40"/>
        </w:rPr>
        <w:t xml:space="preserve">Let’s build it.</w:t>
      </w:r>
    </w:p>
    <w:p>
      <w:pPr>
        <w:spacing w:after="220"/>
      </w:pPr>
      <w:r>
        <w:rPr>
          <w:rFonts w:ascii="Cambria" w:cs="Cambria" w:eastAsia="Cambria" w:hAnsi="Cambria"/>
          <w:i/>
          <w:iCs/>
          <w:color w:val="C9922A"/>
          <w:sz w:val="26"/>
          <w:szCs w:val="26"/>
        </w:rPr>
        <w:t xml:space="preserve">“Resilience is built, not born.”</w:t>
      </w:r>
    </w:p>
    <w:p>
      <w:pPr>
        <w:spacing w:after="20"/>
      </w:pPr>
      <w:r>
        <w:rPr>
          <w:rFonts w:ascii="Calibri" w:cs="Calibri" w:eastAsia="Calibri" w:hAnsi="Calibri"/>
          <w:b/>
          <w:bCs/>
          <w:color w:val="1A1A24"/>
          <w:sz w:val="24"/>
          <w:szCs w:val="24"/>
        </w:rPr>
        <w:t xml:space="preserve">Sifiso Sibuyane</w:t>
      </w:r>
    </w:p>
    <w:p>
      <w:pPr>
        <w:spacing w:after="20"/>
      </w:pPr>
      <w:r>
        <w:rPr>
          <w:rFonts w:ascii="Calibri" w:cs="Calibri" w:eastAsia="Calibri" w:hAnsi="Calibri"/>
          <w:color w:val="23232E"/>
          <w:sz w:val="22"/>
          <w:szCs w:val="22"/>
        </w:rPr>
        <w:t xml:space="preserve">Build Resilience (Pty) Ltd</w:t>
      </w:r>
    </w:p>
    <w:p>
      <w:pPr>
        <w:spacing w:after="20"/>
      </w:pPr>
      <w:r>
        <w:rPr>
          <w:rFonts w:ascii="Calibri" w:cs="Calibri" w:eastAsia="Calibri" w:hAnsi="Calibri"/>
          <w:color w:val="23232E"/>
          <w:sz w:val="22"/>
          <w:szCs w:val="22"/>
        </w:rPr>
        <w:t xml:space="preserve">info@buildresilience.co.za    ·    078 044 3373</w:t>
      </w:r>
    </w:p>
    <w:p>
      <w:r>
        <w:rPr>
          <w:rFonts w:ascii="Calibri" w:cs="Calibri" w:eastAsia="Calibri" w:hAnsi="Calibri"/>
          <w:color w:val="6B6B76"/>
          <w:sz w:val="22"/>
          <w:szCs w:val="22"/>
        </w:rPr>
        <w:t xml:space="preserve">buildresilience.co.za    ·    Gauteng, South Africa</w:t>
      </w:r>
    </w:p>
    <w:sectPr>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9922A"/>
        <w:sz w:val="22"/>
        <w:szCs w:val="22"/>
      </w:rPr>
    </w:lvl>
  </w:abstractNum>
  <w:abstractNum w:abstractNumId="3" w15:restartNumberingAfterBreak="0">
    <w:multiLevelType w:val="hybridMultilevel"/>
    <w:lvl w:ilvl="0" w15:tentative="1">
      <w:start w:val="1"/>
      <w:numFmt w:val="decimal"/>
      <w:lvlText w:val="%1."/>
      <w:lvlJc w:val="left"/>
      <w:pPr>
        <w:ind w:left="360" w:hanging="260"/>
      </w:pPr>
      <w:rPr>
        <w:b/>
        <w:bCs/>
        <w:color w:val="C9922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Resilience Annual Conference 2026 — Investec Title Sponsorship Proposal</dc:title>
  <dc:creator>Build Resilience (Pty) Ltd</dc:creator>
  <cp:lastModifiedBy>Un-named</cp:lastModifiedBy>
  <cp:revision>1</cp:revision>
  <dcterms:created xsi:type="dcterms:W3CDTF">2026-07-11T09:18:08.915Z</dcterms:created>
  <dcterms:modified xsi:type="dcterms:W3CDTF">2026-07-11T09:18:08.915Z</dcterms:modified>
</cp:coreProperties>
</file>

<file path=docProps/custom.xml><?xml version="1.0" encoding="utf-8"?>
<Properties xmlns="http://schemas.openxmlformats.org/officeDocument/2006/custom-properties" xmlns:vt="http://schemas.openxmlformats.org/officeDocument/2006/docPropsVTypes"/>
</file>