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trHeight w:val="13200" w:hRule="exact"/>
        </w:trPr>
        <w:tc>
          <w:tcPr>
            <w:tcW w:type="dxa" w:w="9360"/>
            <w:tcBorders>
              <w:top w:val="none" w:color="FFFFFF" w:sz="0"/>
              <w:left w:val="none" w:color="FFFFFF" w:sz="0"/>
              <w:bottom w:val="none" w:color="FFFFFF" w:sz="0"/>
              <w:right w:val="none" w:color="FFFFFF" w:sz="0"/>
            </w:tcBorders>
            <w:shd w:fill="1A1A24" w:color="auto" w:val="clear"/>
            <w:tcMar>
              <w:top w:type="dxa" w:w="400"/>
              <w:left w:type="dxa" w:w="500"/>
              <w:bottom w:type="dxa" w:w="400"/>
              <w:right w:type="dxa" w:w="500"/>
            </w:tcMar>
            <w:vAlign w:val="top"/>
          </w:tcPr>
          <w:p>
            <w:pPr>
              <w:spacing w:after="0" w:before="900"/>
            </w:pPr>
            <w:r>
              <w:rPr>
                <w:rFonts w:ascii="Calibri" w:cs="Calibri" w:eastAsia="Calibri" w:hAnsi="Calibri"/>
                <w:b/>
                <w:bCs/>
                <w:color w:val="C9922A"/>
                <w:spacing w:val="60"/>
                <w:sz w:val="20"/>
                <w:szCs w:val="20"/>
              </w:rPr>
              <w:t xml:space="preserve">SPONSORSHIP PROPOSAL</w:t>
            </w:r>
          </w:p>
          <w:p>
            <w:pPr>
              <w:spacing w:after="0" w:before="220"/>
            </w:pPr>
            <w:r>
              <w:rPr>
                <w:rFonts w:ascii="Cambria" w:cs="Cambria" w:eastAsia="Cambria" w:hAnsi="Cambria"/>
                <w:b/>
                <w:bCs/>
                <w:color w:val="FFFFFF"/>
                <w:sz w:val="58"/>
                <w:szCs w:val="58"/>
              </w:rPr>
              <w:t xml:space="preserve">Building Resilience</w:t>
            </w:r>
          </w:p>
          <w:p>
            <w:pPr>
              <w:spacing w:after="260" w:before="0"/>
            </w:pPr>
            <w:r>
              <w:rPr>
                <w:rFonts w:ascii="Cambria" w:cs="Cambria" w:eastAsia="Cambria" w:hAnsi="Cambria"/>
                <w:b/>
                <w:bCs/>
                <w:color w:val="FFFFFF"/>
                <w:sz w:val="58"/>
                <w:szCs w:val="58"/>
              </w:rPr>
              <w:t xml:space="preserve">Annual Conference 2026</w:t>
            </w:r>
          </w:p>
          <w:p>
            <w:pPr>
              <w:spacing w:after="520"/>
            </w:pPr>
            <w:r>
              <w:rPr>
                <w:rFonts w:ascii="Calibri" w:cs="Calibri" w:eastAsia="Calibri" w:hAnsi="Calibri"/>
                <w:color w:val="D8D6CE"/>
                <w:sz w:val="24"/>
                <w:szCs w:val="24"/>
              </w:rPr>
              <w:t xml:space="preserve">A Gold sponsorship, prepared for Nedbank Business.</w:t>
            </w:r>
          </w:p>
          <w:tbl>
            <w:tblPr>
              <w:tblW w:type="dxa" w:w="8360"/>
              <w:tblBorders>
                <w:top w:val="none" w:color="FFFFFF" w:sz="0"/>
                <w:left w:val="none" w:color="FFFFFF" w:sz="0"/>
                <w:bottom w:val="none" w:color="FFFFFF" w:sz="0"/>
                <w:right w:val="none" w:color="FFFFFF" w:sz="0"/>
                <w:insideH w:val="single" w:color="auto" w:sz="4"/>
                <w:insideV w:val="single" w:color="auto" w:sz="4"/>
              </w:tblBorders>
            </w:tblPr>
            <w:tblGrid>
              <w:gridCol w:w="2340"/>
              <w:gridCol w:w="6020"/>
            </w:tblGrid>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C9922A"/>
                      <w:spacing w:val="20"/>
                      <w:sz w:val="16"/>
                      <w:szCs w:val="16"/>
                    </w:rPr>
                    <w:t xml:space="preserve">PREPARED FOR</w:t>
                  </w:r>
                </w:p>
              </w:tc>
              <w:tc>
                <w:tcPr>
                  <w:tcW w:type="dxa" w:w="60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F2F0E9"/>
                      <w:sz w:val="21"/>
                      <w:szCs w:val="21"/>
                    </w:rPr>
                    <w:t xml:space="preserve">Nedbank Business</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C9922A"/>
                      <w:spacing w:val="20"/>
                      <w:sz w:val="16"/>
                      <w:szCs w:val="16"/>
                    </w:rPr>
                    <w:t xml:space="preserve">PRESENTED TO</w:t>
                  </w:r>
                </w:p>
              </w:tc>
              <w:tc>
                <w:tcPr>
                  <w:tcW w:type="dxa" w:w="60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F2F0E9"/>
                      <w:sz w:val="21"/>
                      <w:szCs w:val="21"/>
                    </w:rPr>
                    <w:t xml:space="preserve">[Nedbank contact name and title to confirm]</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C9922A"/>
                      <w:spacing w:val="20"/>
                      <w:sz w:val="16"/>
                      <w:szCs w:val="16"/>
                    </w:rPr>
                    <w:t xml:space="preserve">WHEN</w:t>
                  </w:r>
                </w:p>
              </w:tc>
              <w:tc>
                <w:tcPr>
                  <w:tcW w:type="dxa" w:w="60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F2F0E9"/>
                      <w:sz w:val="21"/>
                      <w:szCs w:val="21"/>
                    </w:rPr>
                    <w:t xml:space="preserve">Thursday, 29 October 2026, full day</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C9922A"/>
                      <w:spacing w:val="20"/>
                      <w:sz w:val="16"/>
                      <w:szCs w:val="16"/>
                    </w:rPr>
                    <w:t xml:space="preserve">WHERE</w:t>
                  </w:r>
                </w:p>
              </w:tc>
              <w:tc>
                <w:tcPr>
                  <w:tcW w:type="dxa" w:w="60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F2F0E9"/>
                      <w:sz w:val="21"/>
                      <w:szCs w:val="21"/>
                    </w:rPr>
                    <w:t xml:space="preserve">Wits Theatre, Braamfontein, Gauteng (target venue)</w:t>
                  </w:r>
                </w:p>
              </w:tc>
            </w:tr>
          </w:tbl>
          <w:p>
            <w:pPr>
              <w:spacing w:before="620"/>
            </w:pPr>
            <w:r>
              <w:rPr>
                <w:rFonts w:ascii="Cambria" w:cs="Cambria" w:eastAsia="Cambria" w:hAnsi="Cambria"/>
                <w:i/>
                <w:iCs/>
                <w:color w:val="C9922A"/>
                <w:sz w:val="24"/>
                <w:szCs w:val="24"/>
              </w:rPr>
              <w:t xml:space="preserve">“Where leaders come to sharpen each other.”</w:t>
            </w:r>
          </w:p>
        </w:tc>
      </w:tr>
    </w:tbl>
    <w:p>
      <w:r>
        <w:br w:type="page"/>
      </w:r>
    </w:p>
    <w:p>
      <w:pPr>
        <w:sectPr>
          <w:pgSz w:w="12240" w:h="15840" w:orient="portrait"/>
          <w:pgMar w:top="900" w:right="1440" w:bottom="900" w:left="1440" w:header="708" w:footer="708" w:gutter="0"/>
          <w:pgNumType/>
          <w:docGrid w:linePitch="360"/>
        </w:sectPr>
      </w:pPr>
    </w:p>
    <w:p>
      <w:pPr>
        <w:spacing w:after="60" w:before="360"/>
      </w:pPr>
      <w:r>
        <w:rPr>
          <w:rFonts w:ascii="Calibri" w:cs="Calibri" w:eastAsia="Calibri" w:hAnsi="Calibri"/>
          <w:b/>
          <w:bCs/>
          <w:color w:val="C9922A"/>
          <w:spacing w:val="30"/>
          <w:sz w:val="18"/>
          <w:szCs w:val="18"/>
        </w:rPr>
        <w:t xml:space="preserve">THE SHORT VERSION</w:t>
      </w:r>
    </w:p>
    <w:p>
      <w:pPr>
        <w:spacing w:after="140"/>
      </w:pPr>
      <w:r>
        <w:rPr>
          <w:rFonts w:ascii="Cambria" w:cs="Cambria" w:eastAsia="Cambria" w:hAnsi="Cambria"/>
          <w:b/>
          <w:bCs/>
          <w:color w:val="1A1A24"/>
          <w:sz w:val="30"/>
          <w:szCs w:val="30"/>
        </w:rPr>
        <w:t xml:space="preserve">A bank that sees money differently, meeting the people who decide it</w:t>
      </w:r>
    </w:p>
    <w:p>
      <w:pPr>
        <w:spacing w:after="160" w:line="288"/>
      </w:pPr>
      <w:r>
        <w:rPr>
          <w:rFonts w:ascii="Cambria" w:cs="Cambria" w:eastAsia="Cambria" w:hAnsi="Cambria"/>
          <w:i/>
          <w:iCs/>
          <w:color w:val="1A1A24"/>
          <w:sz w:val="23"/>
          <w:szCs w:val="23"/>
        </w:rPr>
        <w:t xml:space="preserve">The stall holds one day. The name around it carries for months.</w:t>
      </w:r>
    </w:p>
    <w:p>
      <w:pPr>
        <w:spacing w:after="140" w:line="276"/>
      </w:pPr>
      <w:r>
        <w:rPr>
          <w:rFonts w:ascii="Calibri" w:cs="Calibri" w:eastAsia="Calibri" w:hAnsi="Calibri"/>
          <w:color w:val="222229"/>
          <w:sz w:val="21"/>
          <w:szCs w:val="21"/>
        </w:rPr>
        <w:t xml:space="preserve">Build Resilience invites Nedbank Business to come on board as a Gold sponsor of the Building Resilience Annual Conference 2026, a full-day, in-person gathering on Thursday 29 October 2026 at the Wits Theatre in Braamfontein. That is the headline. The rest of this document is really about why Nedbank, of the names we could approach, is the natural fit for this particular room.</w:t>
      </w:r>
    </w:p>
    <w:p>
      <w:pPr>
        <w:spacing w:after="140" w:line="276"/>
      </w:pPr>
      <w:r>
        <w:rPr>
          <w:rFonts w:ascii="Calibri" w:cs="Calibri" w:eastAsia="Calibri" w:hAnsi="Calibri"/>
          <w:color w:val="222229"/>
          <w:sz w:val="21"/>
          <w:szCs w:val="21"/>
        </w:rPr>
        <w:t xml:space="preserve">The conference puts 300 to 400 senior delegates in one place. Founders and CEOs of growth-stage businesses, senior operators, investors, advisors and board members. These are the people who make hard money decisions every week, the ones deciding where cash goes, how growth gets funded, and which banking relationship is actually worth keeping. For one day, and across the months of programming that lead into it, Nedbank would be in that conversation rather than shouting at it from the outside.</w:t>
      </w:r>
    </w:p>
    <w:p>
      <w:pPr>
        <w:spacing w:after="40" w:line="276"/>
      </w:pPr>
      <w:r>
        <w:rPr>
          <w:rFonts w:ascii="Calibri" w:cs="Calibri" w:eastAsia="Calibri" w:hAnsi="Calibri"/>
          <w:color w:val="222229"/>
          <w:sz w:val="21"/>
          <w:szCs w:val="21"/>
        </w:rPr>
        <w:t xml:space="preserve">So we are not really selling footfall here. We are offering a fit. A bank whose whole idea is that money should be seen differently, put in front of a room of operators who think about money more honestly than most.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1A24" w:color="auto" w:val="clear"/>
            <w:tcMar>
              <w:top w:type="dxa" w:w="200"/>
              <w:left w:type="dxa" w:w="120"/>
              <w:bottom w:type="dxa" w:w="200"/>
              <w:right w:type="dxa" w:w="120"/>
            </w:tcMar>
            <w:vAlign w:val="center"/>
          </w:tcPr>
          <w:p>
            <w:pPr>
              <w:spacing w:after="40"/>
              <w:jc w:val="center"/>
            </w:pPr>
            <w:r>
              <w:rPr>
                <w:rFonts w:ascii="Cambria" w:cs="Cambria" w:eastAsia="Cambria" w:hAnsi="Cambria"/>
                <w:b/>
                <w:bCs/>
                <w:color w:val="C9922A"/>
                <w:sz w:val="44"/>
                <w:szCs w:val="44"/>
              </w:rPr>
              <w:t xml:space="preserve">300–400</w:t>
            </w:r>
          </w:p>
          <w:p>
            <w:pPr>
              <w:jc w:val="center"/>
            </w:pPr>
            <w:r>
              <w:rPr>
                <w:rFonts w:ascii="Calibri" w:cs="Calibri" w:eastAsia="Calibri" w:hAnsi="Calibri"/>
                <w:color w:val="EDEBE4"/>
                <w:sz w:val="17"/>
                <w:szCs w:val="17"/>
              </w:rPr>
              <w:t xml:space="preserve">senior delegates in the room</w:t>
            </w:r>
          </w:p>
        </w:tc>
        <w:tc>
          <w:tcPr>
            <w:tcW w:type="dxa" w:w="3120"/>
            <w:tcBorders>
              <w:top w:val="none" w:color="FFFFFF" w:sz="0"/>
              <w:left w:val="none" w:color="FFFFFF" w:sz="0"/>
              <w:bottom w:val="none" w:color="FFFFFF" w:sz="0"/>
              <w:right w:val="none" w:color="FFFFFF" w:sz="0"/>
            </w:tcBorders>
            <w:shd w:fill="1A1A24" w:color="auto" w:val="clear"/>
            <w:tcMar>
              <w:top w:type="dxa" w:w="200"/>
              <w:left w:type="dxa" w:w="120"/>
              <w:bottom w:type="dxa" w:w="200"/>
              <w:right w:type="dxa" w:w="120"/>
            </w:tcMar>
            <w:vAlign w:val="center"/>
          </w:tcPr>
          <w:p>
            <w:pPr>
              <w:spacing w:after="40"/>
              <w:jc w:val="center"/>
            </w:pPr>
            <w:r>
              <w:rPr>
                <w:rFonts w:ascii="Cambria" w:cs="Cambria" w:eastAsia="Cambria" w:hAnsi="Cambria"/>
                <w:b/>
                <w:bCs/>
                <w:color w:val="C9922A"/>
                <w:sz w:val="44"/>
                <w:szCs w:val="44"/>
              </w:rPr>
              <w:t xml:space="preserve">10</w:t>
            </w:r>
          </w:p>
          <w:p>
            <w:pPr>
              <w:jc w:val="center"/>
            </w:pPr>
            <w:r>
              <w:rPr>
                <w:rFonts w:ascii="Calibri" w:cs="Calibri" w:eastAsia="Calibri" w:hAnsi="Calibri"/>
                <w:color w:val="EDEBE4"/>
                <w:sz w:val="17"/>
                <w:szCs w:val="17"/>
              </w:rPr>
              <w:t xml:space="preserve">curated speakers, one full day</w:t>
            </w:r>
          </w:p>
        </w:tc>
        <w:tc>
          <w:tcPr>
            <w:tcW w:type="dxa" w:w="3120"/>
            <w:tcBorders>
              <w:top w:val="none" w:color="FFFFFF" w:sz="0"/>
              <w:left w:val="none" w:color="FFFFFF" w:sz="0"/>
              <w:bottom w:val="none" w:color="FFFFFF" w:sz="0"/>
              <w:right w:val="none" w:color="FFFFFF" w:sz="0"/>
            </w:tcBorders>
            <w:shd w:fill="1A1A24" w:color="auto" w:val="clear"/>
            <w:tcMar>
              <w:top w:type="dxa" w:w="200"/>
              <w:left w:type="dxa" w:w="120"/>
              <w:bottom w:type="dxa" w:w="200"/>
              <w:right w:type="dxa" w:w="120"/>
            </w:tcMar>
            <w:vAlign w:val="center"/>
          </w:tcPr>
          <w:p>
            <w:pPr>
              <w:spacing w:after="40"/>
              <w:jc w:val="center"/>
            </w:pPr>
            <w:r>
              <w:rPr>
                <w:rFonts w:ascii="Cambria" w:cs="Cambria" w:eastAsia="Cambria" w:hAnsi="Cambria"/>
                <w:b/>
                <w:bCs/>
                <w:color w:val="C9922A"/>
                <w:sz w:val="44"/>
                <w:szCs w:val="44"/>
              </w:rPr>
              <w:t xml:space="preserve">3</w:t>
            </w:r>
          </w:p>
          <w:p>
            <w:pPr>
              <w:jc w:val="center"/>
            </w:pPr>
            <w:r>
              <w:rPr>
                <w:rFonts w:ascii="Calibri" w:cs="Calibri" w:eastAsia="Calibri" w:hAnsi="Calibri"/>
                <w:color w:val="EDEBE4"/>
                <w:sz w:val="17"/>
                <w:szCs w:val="17"/>
              </w:rPr>
              <w:t xml:space="preserve">pillars: Strength, Structure, Growth</w:t>
            </w:r>
          </w:p>
        </w:tc>
      </w:tr>
    </w:tbl>
    <w:p>
      <w:pPr>
        <w:spacing w:after="60" w:before="360"/>
      </w:pPr>
      <w:r>
        <w:rPr>
          <w:rFonts w:ascii="Calibri" w:cs="Calibri" w:eastAsia="Calibri" w:hAnsi="Calibri"/>
          <w:b/>
          <w:bCs/>
          <w:color w:val="C9922A"/>
          <w:spacing w:val="30"/>
          <w:sz w:val="18"/>
          <w:szCs w:val="18"/>
        </w:rPr>
        <w:t xml:space="preserve">WHY WE LEAD WITH FIT, NOT FOOTFALL</w:t>
      </w:r>
    </w:p>
    <w:p>
      <w:pPr>
        <w:spacing w:after="140"/>
      </w:pPr>
      <w:r>
        <w:rPr>
          <w:rFonts w:ascii="Cambria" w:cs="Cambria" w:eastAsia="Cambria" w:hAnsi="Cambria"/>
          <w:b/>
          <w:bCs/>
          <w:color w:val="1A1A24"/>
          <w:sz w:val="30"/>
          <w:szCs w:val="30"/>
        </w:rPr>
        <w:t xml:space="preserve">A different kind of proposal</w:t>
      </w:r>
    </w:p>
    <w:p>
      <w:pPr>
        <w:spacing w:after="140" w:line="276"/>
      </w:pPr>
      <w:r>
        <w:rPr>
          <w:rFonts w:ascii="Calibri" w:cs="Calibri" w:eastAsia="Calibri" w:hAnsi="Calibri"/>
          <w:color w:val="222229"/>
          <w:sz w:val="21"/>
          <w:szCs w:val="21"/>
        </w:rPr>
        <w:t xml:space="preserve">Most sponsorship proposals open by promising a room full of leads. We could do that, honestly, and the room would probably deliver it. But leading with a headcount felt like the wrong opening for a conversation with Nedbank, mostly because it undersells what is actually on the table.</w:t>
      </w:r>
    </w:p>
    <w:p>
      <w:pPr>
        <w:spacing w:after="140" w:line="276"/>
      </w:pPr>
      <w:r>
        <w:rPr>
          <w:rFonts w:ascii="Calibri" w:cs="Calibri" w:eastAsia="Calibri" w:hAnsi="Calibri"/>
          <w:color w:val="222229"/>
          <w:sz w:val="21"/>
          <w:szCs w:val="21"/>
        </w:rPr>
        <w:t xml:space="preserve">“See money differently” is not a line you bolt onto any event. It is a claim about how a bank thinks. This room is full of people who have had to see money differently to survive, founders who have made payroll in a bad month, operators who have chosen between growth and safety with real numbers in front of them. So rather than count heads, we would rather talk about the company the Nedbank name would keep for a day. And then about the quieter thing sitting right alongside it: a group of Gauteng matriculants, in the room, watching what a built business actually looks like.</w:t>
      </w:r>
    </w:p>
    <w:p>
      <w:pPr>
        <w:spacing w:after="140" w:line="276"/>
      </w:pPr>
      <w:r>
        <w:rPr>
          <w:rFonts w:ascii="Calibri" w:cs="Calibri" w:eastAsia="Calibri" w:hAnsi="Calibri"/>
          <w:color w:val="222229"/>
          <w:sz w:val="21"/>
          <w:szCs w:val="21"/>
        </w:rPr>
        <w:t xml:space="preserve">The commercial recognition is all here. It is set out plainly further down, nothing hidden. It is just not the first thing we wanted to say.</w:t>
      </w:r>
    </w:p>
    <w:p>
      <w:pPr>
        <w:spacing w:after="60" w:before="360"/>
      </w:pPr>
      <w:r>
        <w:rPr>
          <w:rFonts w:ascii="Calibri" w:cs="Calibri" w:eastAsia="Calibri" w:hAnsi="Calibri"/>
          <w:b/>
          <w:bCs/>
          <w:color w:val="C9922A"/>
          <w:spacing w:val="30"/>
          <w:sz w:val="18"/>
          <w:szCs w:val="18"/>
        </w:rPr>
        <w:t xml:space="preserve">WHO WE ARE</w:t>
      </w:r>
    </w:p>
    <w:p>
      <w:pPr>
        <w:spacing w:after="140"/>
      </w:pPr>
      <w:r>
        <w:rPr>
          <w:rFonts w:ascii="Cambria" w:cs="Cambria" w:eastAsia="Cambria" w:hAnsi="Cambria"/>
          <w:b/>
          <w:bCs/>
          <w:color w:val="1A1A24"/>
          <w:sz w:val="30"/>
          <w:szCs w:val="30"/>
        </w:rPr>
        <w:t xml:space="preserve">About Build Resilience</w:t>
      </w:r>
    </w:p>
    <w:p>
      <w:pPr>
        <w:spacing w:after="140" w:line="276"/>
      </w:pPr>
      <w:r>
        <w:rPr>
          <w:rFonts w:ascii="Calibri" w:cs="Calibri" w:eastAsia="Calibri" w:hAnsi="Calibri"/>
          <w:color w:val="222229"/>
          <w:sz w:val="21"/>
          <w:szCs w:val="21"/>
        </w:rPr>
        <w:t xml:space="preserve">Build Resilience is a Gauteng company, wholly owned by Kingdom Faith Worship Centre NPC (PBO status pending). We design and produce high-trust conferences, roundtables and workshops for founders, operators and organisational leaders. Our rooms are built for practical wisdom, shared openly, by people who have already done the hard work of building, breaking and rebuilding businesses. We don’t host pitches. We host honest conversations.</w:t>
      </w:r>
    </w:p>
    <w:p>
      <w:pPr>
        <w:spacing w:after="160" w:line="276"/>
      </w:pPr>
      <w:r>
        <w:rPr>
          <w:rFonts w:ascii="Calibri" w:cs="Calibri" w:eastAsia="Calibri" w:hAnsi="Calibri"/>
          <w:color w:val="222229"/>
          <w:sz w:val="21"/>
          <w:szCs w:val="21"/>
        </w:rPr>
        <w:t xml:space="preserve">The flagship conference brings ten curated speakers together for a full day, organised around three pillars.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4F1EA" w:color="auto" w:val="clear"/>
            <w:tcMar>
              <w:top w:type="dxa" w:w="160"/>
              <w:left w:type="dxa" w:w="150"/>
              <w:bottom w:type="dxa" w:w="160"/>
              <w:right w:type="dxa" w:w="150"/>
            </w:tcMar>
          </w:tcPr>
          <w:p>
            <w:pPr>
              <w:spacing w:after="70"/>
            </w:pPr>
            <w:r>
              <w:rPr>
                <w:rFonts w:ascii="Cambria" w:cs="Cambria" w:eastAsia="Cambria" w:hAnsi="Cambria"/>
                <w:b/>
                <w:bCs/>
                <w:color w:val="1A1A24"/>
                <w:sz w:val="22"/>
                <w:szCs w:val="22"/>
              </w:rPr>
              <w:t xml:space="preserve">Strength</w:t>
            </w:r>
          </w:p>
          <w:p>
            <w:r>
              <w:rPr>
                <w:rFonts w:ascii="Calibri" w:cs="Calibri" w:eastAsia="Calibri" w:hAnsi="Calibri"/>
                <w:color w:val="222229"/>
                <w:sz w:val="18"/>
                <w:szCs w:val="18"/>
              </w:rPr>
              <w:t xml:space="preserve">Honest, raw conversations about what nearly broke the business, and what saved it.</w:t>
            </w:r>
          </w:p>
        </w:tc>
        <w:tc>
          <w:tcPr>
            <w:tcW w:type="dxa" w:w="3120"/>
            <w:tcBorders>
              <w:top w:val="none" w:color="FFFFFF" w:sz="0"/>
              <w:left w:val="none" w:color="FFFFFF" w:sz="0"/>
              <w:bottom w:val="none" w:color="FFFFFF" w:sz="0"/>
              <w:right w:val="none" w:color="FFFFFF" w:sz="0"/>
            </w:tcBorders>
            <w:shd w:fill="F4F1EA" w:color="auto" w:val="clear"/>
            <w:tcMar>
              <w:top w:type="dxa" w:w="160"/>
              <w:left w:type="dxa" w:w="150"/>
              <w:bottom w:type="dxa" w:w="160"/>
              <w:right w:type="dxa" w:w="150"/>
            </w:tcMar>
          </w:tcPr>
          <w:p>
            <w:pPr>
              <w:spacing w:after="70"/>
            </w:pPr>
            <w:r>
              <w:rPr>
                <w:rFonts w:ascii="Cambria" w:cs="Cambria" w:eastAsia="Cambria" w:hAnsi="Cambria"/>
                <w:b/>
                <w:bCs/>
                <w:color w:val="1A1A24"/>
                <w:sz w:val="22"/>
                <w:szCs w:val="22"/>
              </w:rPr>
              <w:t xml:space="preserve">Structure</w:t>
            </w:r>
          </w:p>
          <w:p>
            <w:r>
              <w:rPr>
                <w:rFonts w:ascii="Calibri" w:cs="Calibri" w:eastAsia="Calibri" w:hAnsi="Calibri"/>
                <w:color w:val="222229"/>
                <w:sz w:val="18"/>
                <w:szCs w:val="18"/>
              </w:rPr>
              <w:t xml:space="preserve">The operating systems and frameworks that turn good intentions into repeatable outcomes.</w:t>
            </w:r>
          </w:p>
        </w:tc>
        <w:tc>
          <w:tcPr>
            <w:tcW w:type="dxa" w:w="3120"/>
            <w:tcBorders>
              <w:top w:val="none" w:color="FFFFFF" w:sz="0"/>
              <w:left w:val="none" w:color="FFFFFF" w:sz="0"/>
              <w:bottom w:val="none" w:color="FFFFFF" w:sz="0"/>
              <w:right w:val="none" w:color="FFFFFF" w:sz="0"/>
            </w:tcBorders>
            <w:shd w:fill="F4F1EA" w:color="auto" w:val="clear"/>
            <w:tcMar>
              <w:top w:type="dxa" w:w="160"/>
              <w:left w:type="dxa" w:w="150"/>
              <w:bottom w:type="dxa" w:w="160"/>
              <w:right w:type="dxa" w:w="150"/>
            </w:tcMar>
          </w:tcPr>
          <w:p>
            <w:pPr>
              <w:spacing w:after="70"/>
            </w:pPr>
            <w:r>
              <w:rPr>
                <w:rFonts w:ascii="Cambria" w:cs="Cambria" w:eastAsia="Cambria" w:hAnsi="Cambria"/>
                <w:b/>
                <w:bCs/>
                <w:color w:val="1A1A24"/>
                <w:sz w:val="22"/>
                <w:szCs w:val="22"/>
              </w:rPr>
              <w:t xml:space="preserve">Growth</w:t>
            </w:r>
          </w:p>
          <w:p>
            <w:r>
              <w:rPr>
                <w:rFonts w:ascii="Calibri" w:cs="Calibri" w:eastAsia="Calibri" w:hAnsi="Calibri"/>
                <w:color w:val="222229"/>
                <w:sz w:val="18"/>
                <w:szCs w:val="18"/>
              </w:rPr>
              <w:t xml:space="preserve">The right relationships, capital and timing that produce lasting growth.</w:t>
            </w:r>
          </w:p>
        </w:tc>
      </w:tr>
    </w:tbl>
    <w:p>
      <w:r>
        <w:br w:type="page"/>
      </w:r>
    </w:p>
    <w:p>
      <w:pPr>
        <w:spacing w:after="60" w:before="360"/>
      </w:pPr>
      <w:r>
        <w:rPr>
          <w:rFonts w:ascii="Calibri" w:cs="Calibri" w:eastAsia="Calibri" w:hAnsi="Calibri"/>
          <w:b/>
          <w:bCs/>
          <w:color w:val="C9922A"/>
          <w:spacing w:val="30"/>
          <w:sz w:val="18"/>
          <w:szCs w:val="18"/>
        </w:rPr>
        <w:t xml:space="preserve">THE EVENT</w:t>
      </w:r>
    </w:p>
    <w:p>
      <w:pPr>
        <w:spacing w:after="140"/>
      </w:pPr>
      <w:r>
        <w:rPr>
          <w:rFonts w:ascii="Cambria" w:cs="Cambria" w:eastAsia="Cambria" w:hAnsi="Cambria"/>
          <w:b/>
          <w:bCs/>
          <w:color w:val="1A1A24"/>
          <w:sz w:val="30"/>
          <w:szCs w:val="30"/>
        </w:rPr>
        <w:t xml:space="preserve">The conference at a glance</w:t>
      </w:r>
    </w:p>
    <w:tbl>
      <w:tblPr>
        <w:tblW w:type="dxa" w:w="9360"/>
        <w:tblBorders>
          <w:top w:val="single" w:color="DFDACE" w:sz="2"/>
          <w:left w:val="none" w:color="FFFFFF" w:sz="0"/>
          <w:bottom w:val="single" w:color="DFDACE" w:sz="2"/>
          <w:right w:val="none" w:color="FFFFFF" w:sz="0"/>
          <w:insideH w:val="single" w:color="DFDACE" w:sz="2"/>
          <w:insideV w:val="none" w:color="FFFFFF" w:sz="0"/>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b/>
                <w:bCs/>
                <w:color w:val="C9922A"/>
                <w:spacing w:val="20"/>
                <w:sz w:val="16"/>
                <w:szCs w:val="16"/>
              </w:rPr>
              <w:t xml:space="preserve">DATE</w:t>
            </w:r>
          </w:p>
        </w:tc>
        <w:tc>
          <w:tcPr>
            <w:tcW w:type="dxa" w:w="676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color w:val="222229"/>
                <w:sz w:val="20"/>
                <w:szCs w:val="20"/>
              </w:rPr>
              <w:t xml:space="preserve">Thursday, 29 October 2026</w:t>
            </w:r>
          </w:p>
        </w:tc>
      </w:tr>
      <w:tr>
        <w:tc>
          <w:tcPr>
            <w:tcW w:type="dxa" w:w="260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b/>
                <w:bCs/>
                <w:color w:val="C9922A"/>
                <w:spacing w:val="20"/>
                <w:sz w:val="16"/>
                <w:szCs w:val="16"/>
              </w:rPr>
              <w:t xml:space="preserve">VENUE</w:t>
            </w:r>
          </w:p>
        </w:tc>
        <w:tc>
          <w:tcPr>
            <w:tcW w:type="dxa" w:w="676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color w:val="222229"/>
                <w:sz w:val="20"/>
                <w:szCs w:val="20"/>
              </w:rPr>
              <w:t xml:space="preserve">Wits Theatre, Braamfontein, Gauteng (target venue)</w:t>
            </w:r>
          </w:p>
        </w:tc>
      </w:tr>
      <w:tr>
        <w:tc>
          <w:tcPr>
            <w:tcW w:type="dxa" w:w="260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b/>
                <w:bCs/>
                <w:color w:val="C9922A"/>
                <w:spacing w:val="20"/>
                <w:sz w:val="16"/>
                <w:szCs w:val="16"/>
              </w:rPr>
              <w:t xml:space="preserve">FORMAT</w:t>
            </w:r>
          </w:p>
        </w:tc>
        <w:tc>
          <w:tcPr>
            <w:tcW w:type="dxa" w:w="676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color w:val="222229"/>
                <w:sz w:val="20"/>
                <w:szCs w:val="20"/>
              </w:rPr>
              <w:t xml:space="preserve">In-person, full day</w:t>
            </w:r>
          </w:p>
        </w:tc>
      </w:tr>
      <w:tr>
        <w:tc>
          <w:tcPr>
            <w:tcW w:type="dxa" w:w="260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b/>
                <w:bCs/>
                <w:color w:val="C9922A"/>
                <w:spacing w:val="20"/>
                <w:sz w:val="16"/>
                <w:szCs w:val="16"/>
              </w:rPr>
              <w:t xml:space="preserve">SPEAKERS</w:t>
            </w:r>
          </w:p>
        </w:tc>
        <w:tc>
          <w:tcPr>
            <w:tcW w:type="dxa" w:w="676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color w:val="222229"/>
                <w:sz w:val="20"/>
                <w:szCs w:val="20"/>
              </w:rPr>
              <w:t xml:space="preserve">Ten curated speakers</w:t>
            </w:r>
          </w:p>
        </w:tc>
      </w:tr>
      <w:tr>
        <w:tc>
          <w:tcPr>
            <w:tcW w:type="dxa" w:w="260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b/>
                <w:bCs/>
                <w:color w:val="C9922A"/>
                <w:spacing w:val="20"/>
                <w:sz w:val="16"/>
                <w:szCs w:val="16"/>
              </w:rPr>
              <w:t xml:space="preserve">AUDIENCE</w:t>
            </w:r>
          </w:p>
        </w:tc>
        <w:tc>
          <w:tcPr>
            <w:tcW w:type="dxa" w:w="676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color w:val="222229"/>
                <w:sz w:val="20"/>
                <w:szCs w:val="20"/>
              </w:rPr>
              <w:t xml:space="preserve">300 to 400 senior delegates: founders and CEOs of growth-stage businesses, senior operators, investors, advisors and board members</w:t>
            </w:r>
          </w:p>
        </w:tc>
      </w:tr>
      <w:tr>
        <w:tc>
          <w:tcPr>
            <w:tcW w:type="dxa" w:w="260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b/>
                <w:bCs/>
                <w:color w:val="C9922A"/>
                <w:spacing w:val="20"/>
                <w:sz w:val="16"/>
                <w:szCs w:val="16"/>
              </w:rPr>
              <w:t xml:space="preserve">PROGRAMME</w:t>
            </w:r>
          </w:p>
        </w:tc>
        <w:tc>
          <w:tcPr>
            <w:tcW w:type="dxa" w:w="6760"/>
            <w:tcBorders>
              <w:top w:val="none" w:color="FFFFFF" w:sz="0"/>
              <w:left w:val="none" w:color="FFFFFF" w:sz="0"/>
              <w:bottom w:val="none" w:color="FFFFFF" w:sz="0"/>
              <w:right w:val="none" w:color="FFFFFF" w:sz="0"/>
            </w:tcBorders>
            <w:tcMar>
              <w:top w:type="dxa" w:w="90"/>
              <w:left w:type="dxa" w:w="120"/>
              <w:bottom w:type="dxa" w:w="90"/>
              <w:right w:type="dxa" w:w="120"/>
            </w:tcMar>
          </w:tcPr>
          <w:p>
            <w:r>
              <w:rPr>
                <w:rFonts w:ascii="Calibri" w:cs="Calibri" w:eastAsia="Calibri" w:hAnsi="Calibri"/>
                <w:color w:val="222229"/>
                <w:sz w:val="20"/>
                <w:szCs w:val="20"/>
              </w:rPr>
              <w:t xml:space="preserve">Strength · Structure · Growth</w:t>
            </w:r>
          </w:p>
        </w:tc>
      </w:tr>
    </w:tbl>
    <w:p>
      <w:pPr>
        <w:spacing w:after="90" w:before="260"/>
      </w:pPr>
      <w:r>
        <w:rPr>
          <w:rFonts w:ascii="Cambria" w:cs="Cambria" w:eastAsia="Cambria" w:hAnsi="Cambria"/>
          <w:b/>
          <w:bCs/>
          <w:color w:val="1A1A24"/>
          <w:sz w:val="23"/>
          <w:szCs w:val="23"/>
        </w:rPr>
        <w:t xml:space="preserve">A sponsor is visible for months, not a single day</w:t>
      </w:r>
    </w:p>
    <w:p>
      <w:pPr>
        <w:spacing w:after="140" w:line="276"/>
      </w:pPr>
      <w:r>
        <w:rPr>
          <w:rFonts w:ascii="Calibri" w:cs="Calibri" w:eastAsia="Calibri" w:hAnsi="Calibri"/>
          <w:color w:val="222229"/>
          <w:sz w:val="21"/>
          <w:szCs w:val="21"/>
        </w:rPr>
        <w:t xml:space="preserve">The conference does not stand alone on the day. It sits at the end of a year-round content programme, which means a sponsor attached to it is visible long before anyone walks into the theatre. Two strands run into 29 October: a monthly “Book Wednesdays” webinar series that runs across the whole year, and a weekly “Speaker Talks” series every Wednesday in the run-up, each session previewing a speaker’s topic. Post-event impact reporting follows within the first week after the conference.</w:t>
      </w:r>
    </w:p>
    <w:p>
      <w:pPr>
        <w:spacing w:after="140"/>
      </w:pPr>
      <w:r>
        <w:rPr>
          <w:rFonts w:ascii="Calibri" w:cs="Calibri" w:eastAsia="Calibri" w:hAnsi="Calibri"/>
          <w:i/>
          <w:iCs/>
          <w:color w:val="6B6B73"/>
          <w:sz w:val="18"/>
          <w:szCs w:val="18"/>
        </w:rPr>
        <w:t xml:space="preserve">[Exact run-up dates for the weekly Speaker Talks series to confirm once the speaker line-up is locked.]</w:t>
      </w:r>
    </w:p>
    <w:p>
      <w:pPr>
        <w:spacing w:after="60" w:before="360"/>
      </w:pPr>
      <w:r>
        <w:rPr>
          <w:rFonts w:ascii="Calibri" w:cs="Calibri" w:eastAsia="Calibri" w:hAnsi="Calibri"/>
          <w:b/>
          <w:bCs/>
          <w:color w:val="C9922A"/>
          <w:spacing w:val="30"/>
          <w:sz w:val="18"/>
          <w:szCs w:val="18"/>
        </w:rPr>
        <w:t xml:space="preserve">WHAT WE BUILD TOGETHER</w:t>
      </w:r>
    </w:p>
    <w:p>
      <w:pPr>
        <w:spacing w:after="140"/>
      </w:pPr>
      <w:r>
        <w:rPr>
          <w:rFonts w:ascii="Cambria" w:cs="Cambria" w:eastAsia="Cambria" w:hAnsi="Cambria"/>
          <w:b/>
          <w:bCs/>
          <w:color w:val="1A1A24"/>
          <w:sz w:val="30"/>
          <w:szCs w:val="30"/>
        </w:rPr>
        <w:t xml:space="preserve">One room, two audiences that both matter to Nedbank</w:t>
      </w:r>
    </w:p>
    <w:p>
      <w:pPr>
        <w:spacing w:after="180" w:line="276"/>
      </w:pPr>
      <w:r>
        <w:rPr>
          <w:rFonts w:ascii="Calibri" w:cs="Calibri" w:eastAsia="Calibri" w:hAnsi="Calibri"/>
          <w:color w:val="222229"/>
          <w:sz w:val="21"/>
          <w:szCs w:val="21"/>
        </w:rPr>
        <w:t xml:space="preserve">Here is the shape of it. Each audience gets something it could not easily get on its own, and both of them happen to sit exactly where Nedbank Business already puts its energy.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1A24" w:color="auto" w:val="clear"/>
            <w:tcMar>
              <w:top w:type="dxa" w:w="180"/>
              <w:left w:type="dxa" w:w="180"/>
              <w:bottom w:type="dxa" w:w="180"/>
              <w:right w:type="dxa" w:w="180"/>
            </w:tcMar>
          </w:tcPr>
          <w:p>
            <w:pPr>
              <w:spacing w:after="30"/>
            </w:pPr>
            <w:r>
              <w:rPr>
                <w:rFonts w:ascii="Cambria" w:cs="Cambria" w:eastAsia="Cambria" w:hAnsi="Cambria"/>
                <w:b/>
                <w:bCs/>
                <w:color w:val="C9922A"/>
                <w:sz w:val="30"/>
                <w:szCs w:val="30"/>
              </w:rPr>
              <w:t xml:space="preserve">01</w:t>
            </w:r>
          </w:p>
          <w:p>
            <w:pPr>
              <w:spacing w:after="80"/>
            </w:pPr>
            <w:r>
              <w:rPr>
                <w:rFonts w:ascii="Cambria" w:cs="Cambria" w:eastAsia="Cambria" w:hAnsi="Cambria"/>
                <w:b/>
                <w:bCs/>
                <w:color w:val="FFFFFF"/>
                <w:sz w:val="21"/>
                <w:szCs w:val="21"/>
              </w:rPr>
              <w:t xml:space="preserve">The room itself</w:t>
            </w:r>
          </w:p>
          <w:p>
            <w:r>
              <w:rPr>
                <w:rFonts w:ascii="Calibri" w:cs="Calibri" w:eastAsia="Calibri" w:hAnsi="Calibri"/>
                <w:color w:val="E7E5DE"/>
                <w:sz w:val="18"/>
                <w:szCs w:val="18"/>
              </w:rPr>
              <w:t xml:space="preserve">300 to 400 founders, CEOs, investors and advisors at the growth stage. The exact segment Nedbank Business banks, or would like to, from a startup on its first account to a company turning over tens of millions. The Gold stall puts a banker in the room, not a billboard. Nedbank can staff the 3x3m stand with business and commercial specialists, put SimplyBiz in front of people who would actually use it, and start real relationships in a setting built for trust rather than transaction.</w:t>
            </w:r>
          </w:p>
        </w:tc>
        <w:tc>
          <w:tcPr>
            <w:tcW w:type="dxa" w:w="4680"/>
            <w:tcBorders>
              <w:top w:val="none" w:color="FFFFFF" w:sz="0"/>
              <w:left w:val="none" w:color="FFFFFF" w:sz="0"/>
              <w:bottom w:val="none" w:color="FFFFFF" w:sz="0"/>
              <w:right w:val="none" w:color="FFFFFF" w:sz="0"/>
            </w:tcBorders>
            <w:shd w:fill="1A1A24" w:color="auto" w:val="clear"/>
            <w:tcMar>
              <w:top w:type="dxa" w:w="180"/>
              <w:left w:type="dxa" w:w="180"/>
              <w:bottom w:type="dxa" w:w="180"/>
              <w:right w:type="dxa" w:w="180"/>
            </w:tcMar>
          </w:tcPr>
          <w:p>
            <w:pPr>
              <w:spacing w:after="30"/>
            </w:pPr>
            <w:r>
              <w:rPr>
                <w:rFonts w:ascii="Cambria" w:cs="Cambria" w:eastAsia="Cambria" w:hAnsi="Cambria"/>
                <w:b/>
                <w:bCs/>
                <w:color w:val="C9922A"/>
                <w:sz w:val="30"/>
                <w:szCs w:val="30"/>
              </w:rPr>
              <w:t xml:space="preserve">02</w:t>
            </w:r>
          </w:p>
          <w:p>
            <w:pPr>
              <w:spacing w:after="80"/>
            </w:pPr>
            <w:r>
              <w:rPr>
                <w:rFonts w:ascii="Cambria" w:cs="Cambria" w:eastAsia="Cambria" w:hAnsi="Cambria"/>
                <w:b/>
                <w:bCs/>
                <w:color w:val="FFFFFF"/>
                <w:sz w:val="21"/>
                <w:szCs w:val="21"/>
              </w:rPr>
              <w:t xml:space="preserve">The next generation</w:t>
            </w:r>
          </w:p>
          <w:p>
            <w:r>
              <w:rPr>
                <w:rFonts w:ascii="Calibri" w:cs="Calibri" w:eastAsia="Calibri" w:hAnsi="Calibri"/>
                <w:color w:val="E7E5DE"/>
                <w:sz w:val="18"/>
                <w:szCs w:val="18"/>
              </w:rPr>
              <w:t xml:space="preserve">A group of top matriculants from two Gauteng commerce-and-entrepreneurship Schools of Specialisation, hosted with the Gauteng Department of Education. Learners who chose this path rather than stumbled onto it. A day in this room, in front of operators who have built real businesses, is the kind of exposure that can shift what a seventeen-year-old believes is possible. It also sits precisely where Nedbank’s enterprise development and education investment already lives, along a pipeline that runs from school upward.</w:t>
            </w:r>
          </w:p>
        </w:tc>
      </w:tr>
    </w:tbl>
    <w:p>
      <w:r>
        <w:br w:type="page"/>
      </w:r>
    </w:p>
    <w:p>
      <w:pPr>
        <w:spacing w:after="60" w:before="360"/>
      </w:pPr>
      <w:r>
        <w:rPr>
          <w:rFonts w:ascii="Calibri" w:cs="Calibri" w:eastAsia="Calibri" w:hAnsi="Calibri"/>
          <w:b/>
          <w:bCs/>
          <w:color w:val="C9922A"/>
          <w:spacing w:val="30"/>
          <w:sz w:val="18"/>
          <w:szCs w:val="18"/>
        </w:rPr>
        <w:t xml:space="preserve">THE ALIGNMENT</w:t>
      </w:r>
    </w:p>
    <w:p>
      <w:pPr>
        <w:spacing w:after="140"/>
      </w:pPr>
      <w:r>
        <w:rPr>
          <w:rFonts w:ascii="Cambria" w:cs="Cambria" w:eastAsia="Cambria" w:hAnsi="Cambria"/>
          <w:b/>
          <w:bCs/>
          <w:color w:val="1A1A24"/>
          <w:sz w:val="30"/>
          <w:szCs w:val="30"/>
        </w:rPr>
        <w:t xml:space="preserve">Why this fits Nedbank</w:t>
      </w:r>
    </w:p>
    <w:p>
      <w:pPr>
        <w:spacing w:after="140" w:line="276"/>
      </w:pPr>
      <w:r>
        <w:rPr>
          <w:rFonts w:ascii="Calibri" w:cs="Calibri" w:eastAsia="Calibri" w:hAnsi="Calibri"/>
          <w:color w:val="222229"/>
          <w:sz w:val="21"/>
          <w:szCs w:val="21"/>
        </w:rPr>
        <w:t xml:space="preserve">Three things line up here, and they line up unusually well.</w:t>
      </w:r>
    </w:p>
    <w:p>
      <w:pPr>
        <w:pStyle w:val="ListParagraph"/>
        <w:numPr>
          <w:ilvl w:val="0"/>
          <w:numId w:val="1"/>
        </w:numPr>
        <w:spacing w:after="90" w:line="268"/>
      </w:pPr>
      <w:r>
        <w:rPr>
          <w:rFonts w:ascii="Calibri" w:cs="Calibri" w:eastAsia="Calibri" w:hAnsi="Calibri"/>
          <w:b/>
          <w:bCs/>
          <w:color w:val="1A1A24"/>
          <w:sz w:val="21"/>
          <w:szCs w:val="21"/>
        </w:rPr>
        <w:t xml:space="preserve">Brand.  </w:t>
      </w:r>
      <w:r>
        <w:rPr>
          <w:rFonts w:ascii="Calibri" w:cs="Calibri" w:eastAsia="Calibri" w:hAnsi="Calibri"/>
          <w:color w:val="222229"/>
          <w:sz w:val="21"/>
          <w:szCs w:val="21"/>
        </w:rPr>
        <w:t xml:space="preserve">Nedbank’s “See money differently” positioning is a promise to think about money more honestly. This room is full of people who have had no choice but to. A purpose-led brand and a serious, honest room reinforce each other, and neither has to shout to do it.</w:t>
      </w:r>
    </w:p>
    <w:p>
      <w:pPr>
        <w:pStyle w:val="ListParagraph"/>
        <w:numPr>
          <w:ilvl w:val="0"/>
          <w:numId w:val="1"/>
        </w:numPr>
        <w:spacing w:after="90" w:line="268"/>
      </w:pPr>
      <w:r>
        <w:rPr>
          <w:rFonts w:ascii="Calibri" w:cs="Calibri" w:eastAsia="Calibri" w:hAnsi="Calibri"/>
          <w:b/>
          <w:bCs/>
          <w:color w:val="1A1A24"/>
          <w:sz w:val="21"/>
          <w:szCs w:val="21"/>
        </w:rPr>
        <w:t xml:space="preserve">Access.  </w:t>
      </w:r>
      <w:r>
        <w:rPr>
          <w:rFonts w:ascii="Calibri" w:cs="Calibri" w:eastAsia="Calibri" w:hAnsi="Calibri"/>
          <w:color w:val="222229"/>
          <w:sz w:val="21"/>
          <w:szCs w:val="21"/>
        </w:rPr>
        <w:t xml:space="preserve">The delegates are founders, CEOs, investors and advisors at the growth stage, close to the exact segment Nedbank Business is built around. With the business and commercial banking cluster sharpening its SME focus, and tools like SimplyBiz and pre-approved SME lending already in market, the access here is direct, not incidental. The stall turns that access into conversations on the day.</w:t>
      </w:r>
    </w:p>
    <w:p>
      <w:pPr>
        <w:pStyle w:val="ListParagraph"/>
        <w:numPr>
          <w:ilvl w:val="0"/>
          <w:numId w:val="1"/>
        </w:numPr>
        <w:spacing w:after="90" w:line="268"/>
      </w:pPr>
      <w:r>
        <w:rPr>
          <w:rFonts w:ascii="Calibri" w:cs="Calibri" w:eastAsia="Calibri" w:hAnsi="Calibri"/>
          <w:b/>
          <w:bCs/>
          <w:color w:val="1A1A24"/>
          <w:sz w:val="21"/>
          <w:szCs w:val="21"/>
        </w:rPr>
        <w:t xml:space="preserve">Purpose.  </w:t>
      </w:r>
      <w:r>
        <w:rPr>
          <w:rFonts w:ascii="Calibri" w:cs="Calibri" w:eastAsia="Calibri" w:hAnsi="Calibri"/>
          <w:color w:val="222229"/>
          <w:sz w:val="21"/>
          <w:szCs w:val="21"/>
        </w:rPr>
        <w:t xml:space="preserve">This is the part that helps an internal sign-off. Nedbank’s Enterprise and Supplier Development work, its SimplyBiz community, and its education-focused CSI all point the same way: growing SMMEs and opening doors for young people. Sponsoring a room built to lower the business failure rate, and hosting matriculants inside it, reads as a straight extension of that mandate rather than a marketing line item.</w:t>
      </w: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1A1A24" w:color="auto" w:val="clear"/>
            <w:tcMar>
              <w:top w:type="dxa" w:w="200"/>
              <w:left w:type="dxa" w:w="160"/>
              <w:bottom w:type="dxa" w:w="200"/>
              <w:right w:type="dxa" w:w="160"/>
            </w:tcMar>
            <w:vAlign w:val="center"/>
          </w:tcPr>
          <w:p>
            <w:pPr>
              <w:jc w:val="center"/>
            </w:pPr>
            <w:r>
              <w:rPr>
                <w:rFonts w:ascii="Cambria" w:cs="Cambria" w:eastAsia="Cambria" w:hAnsi="Cambria"/>
                <w:b/>
                <w:bCs/>
                <w:color w:val="C9922A"/>
                <w:sz w:val="40"/>
                <w:szCs w:val="40"/>
              </w:rPr>
              <w:t xml:space="preserve">70–80%</w:t>
            </w:r>
          </w:p>
        </w:tc>
        <w:tc>
          <w:tcPr>
            <w:tcW w:type="dxa" w:w="6760"/>
            <w:tcBorders>
              <w:top w:val="none" w:color="FFFFFF" w:sz="0"/>
              <w:left w:val="none" w:color="FFFFFF" w:sz="0"/>
              <w:bottom w:val="none" w:color="FFFFFF" w:sz="0"/>
              <w:right w:val="none" w:color="FFFFFF" w:sz="0"/>
            </w:tcBorders>
            <w:shd w:fill="F4F1EA" w:color="auto" w:val="clear"/>
            <w:tcMar>
              <w:top w:type="dxa" w:w="200"/>
              <w:left w:type="dxa" w:w="200"/>
              <w:bottom w:type="dxa" w:w="200"/>
              <w:right w:type="dxa" w:w="200"/>
            </w:tcMar>
            <w:vAlign w:val="center"/>
          </w:tcPr>
          <w:p>
            <w:r>
              <w:rPr>
                <w:rFonts w:ascii="Calibri" w:cs="Calibri" w:eastAsia="Calibri" w:hAnsi="Calibri"/>
                <w:color w:val="222229"/>
                <w:sz w:val="19"/>
                <w:szCs w:val="19"/>
              </w:rPr>
              <w:t xml:space="preserve">of South African small businesses close within their first five years. That failure rate is the exact problem this room is built to chip away at, and it is the reason Build Resilience exists in the first place. It is also, more or less, Nedbank’s enterprise-development problem stated as one number.</w:t>
            </w:r>
          </w:p>
        </w:tc>
      </w:tr>
    </w:tbl>
    <w:p>
      <w:pPr>
        <w:spacing w:after="60" w:before="360"/>
      </w:pPr>
      <w:r>
        <w:rPr>
          <w:rFonts w:ascii="Calibri" w:cs="Calibri" w:eastAsia="Calibri" w:hAnsi="Calibri"/>
          <w:b/>
          <w:bCs/>
          <w:color w:val="C9922A"/>
          <w:spacing w:val="30"/>
          <w:sz w:val="18"/>
          <w:szCs w:val="18"/>
        </w:rPr>
        <w:t xml:space="preserve">THE ASK</w:t>
      </w:r>
    </w:p>
    <w:p>
      <w:pPr>
        <w:spacing w:after="140"/>
      </w:pPr>
      <w:r>
        <w:rPr>
          <w:rFonts w:ascii="Cambria" w:cs="Cambria" w:eastAsia="Cambria" w:hAnsi="Cambria"/>
          <w:b/>
          <w:bCs/>
          <w:color w:val="1A1A24"/>
          <w:sz w:val="30"/>
          <w:szCs w:val="30"/>
        </w:rPr>
        <w:t xml:space="preserve">What we are asking Nedbank for</w:t>
      </w:r>
    </w:p>
    <w:p>
      <w:pPr>
        <w:spacing w:after="140" w:line="276"/>
      </w:pPr>
      <w:r>
        <w:rPr>
          <w:rFonts w:ascii="Calibri" w:cs="Calibri" w:eastAsia="Calibri" w:hAnsi="Calibri"/>
          <w:color w:val="222229"/>
          <w:sz w:val="21"/>
          <w:szCs w:val="21"/>
        </w:rPr>
        <w:t xml:space="preserve">We are asking Nedbank Business to come on board as a Gold sponsor of the Building Resilience Annual Conference 2026. Two Gold sponsorships are available, and we are offering Nedbank first look at one of them.</w:t>
      </w:r>
    </w:p>
    <w:p>
      <w:pPr>
        <w:spacing w:after="140" w:line="276"/>
      </w:pPr>
      <w:r>
        <w:rPr>
          <w:rFonts w:ascii="Calibri" w:cs="Calibri" w:eastAsia="Calibri" w:hAnsi="Calibri"/>
          <w:color w:val="222229"/>
          <w:sz w:val="21"/>
          <w:szCs w:val="21"/>
        </w:rPr>
        <w:t xml:space="preserve">The Gold sponsorship is R40,000. In return, Nedbank takes stage and programme logo placement, a 3x3m exhibitor stall in the delegate space, three VIP delegate tickets, and three social mentions across our channels. The stall is the piece that makes Gold work harder than its price, it is a live Nedbank Business touchpoint in a room of exactly the right people.</w:t>
      </w:r>
    </w:p>
    <w:p>
      <w:pPr>
        <w:spacing w:after="140" w:line="276"/>
      </w:pPr>
      <w:r>
        <w:rPr>
          <w:rFonts w:ascii="Calibri" w:cs="Calibri" w:eastAsia="Calibri" w:hAnsi="Calibri"/>
          <w:color w:val="222229"/>
          <w:sz w:val="21"/>
          <w:szCs w:val="21"/>
        </w:rPr>
        <w:t xml:space="preserve">If Nedbank would rather anchor the top of the room, the single Title tier is still open, and a bespoke or in-kind blend is a conversation we are happy to have. [Any bespoke package value to be confirmed together.]</w:t>
      </w:r>
    </w:p>
    <w:p>
      <w:pPr>
        <w:spacing w:after="60" w:before="360"/>
      </w:pPr>
      <w:r>
        <w:rPr>
          <w:rFonts w:ascii="Calibri" w:cs="Calibri" w:eastAsia="Calibri" w:hAnsi="Calibri"/>
          <w:b/>
          <w:bCs/>
          <w:color w:val="C9922A"/>
          <w:spacing w:val="30"/>
          <w:sz w:val="18"/>
          <w:szCs w:val="18"/>
        </w:rPr>
        <w:t xml:space="preserve">RECOGNITION</w:t>
      </w:r>
    </w:p>
    <w:p>
      <w:pPr>
        <w:spacing w:after="140"/>
      </w:pPr>
      <w:r>
        <w:rPr>
          <w:rFonts w:ascii="Cambria" w:cs="Cambria" w:eastAsia="Cambria" w:hAnsi="Cambria"/>
          <w:b/>
          <w:bCs/>
          <w:color w:val="1A1A24"/>
          <w:sz w:val="30"/>
          <w:szCs w:val="30"/>
        </w:rPr>
        <w:t xml:space="preserve">What Nedbank receives</w:t>
      </w:r>
    </w:p>
    <w:p>
      <w:pPr>
        <w:spacing w:after="120" w:line="276"/>
      </w:pPr>
      <w:r>
        <w:rPr>
          <w:rFonts w:ascii="Calibri" w:cs="Calibri" w:eastAsia="Calibri" w:hAnsi="Calibri"/>
          <w:color w:val="222229"/>
          <w:sz w:val="21"/>
          <w:szCs w:val="21"/>
        </w:rPr>
        <w:t xml:space="preserve">As a Gold sponsor, Nedbank is credited across the layers of the event where it matters most, on stage, in the programme, in the room, and across the run-up.</w:t>
      </w:r>
    </w:p>
    <w:p>
      <w:pPr>
        <w:pStyle w:val="ListParagraph"/>
        <w:numPr>
          <w:ilvl w:val="0"/>
          <w:numId w:val="1"/>
        </w:numPr>
        <w:spacing w:after="90" w:line="268"/>
      </w:pPr>
      <w:r>
        <w:rPr>
          <w:rFonts w:ascii="Calibri" w:cs="Calibri" w:eastAsia="Calibri" w:hAnsi="Calibri"/>
          <w:color w:val="222229"/>
          <w:sz w:val="21"/>
          <w:szCs w:val="21"/>
        </w:rPr>
        <w:t xml:space="preserve">Nedbank Business logo on stage and throughout the event programme.</w:t>
      </w:r>
    </w:p>
    <w:p>
      <w:pPr>
        <w:pStyle w:val="ListParagraph"/>
        <w:numPr>
          <w:ilvl w:val="0"/>
          <w:numId w:val="1"/>
        </w:numPr>
        <w:spacing w:after="90" w:line="268"/>
      </w:pPr>
      <w:r>
        <w:rPr>
          <w:rFonts w:ascii="Calibri" w:cs="Calibri" w:eastAsia="Calibri" w:hAnsi="Calibri"/>
          <w:color w:val="222229"/>
          <w:sz w:val="21"/>
          <w:szCs w:val="21"/>
        </w:rPr>
        <w:t xml:space="preserve">A 3x3m exhibitor stall in the delegate space, staffed by your own team for the full day.</w:t>
      </w:r>
    </w:p>
    <w:p>
      <w:pPr>
        <w:pStyle w:val="ListParagraph"/>
        <w:numPr>
          <w:ilvl w:val="0"/>
          <w:numId w:val="1"/>
        </w:numPr>
        <w:spacing w:after="90" w:line="268"/>
      </w:pPr>
      <w:r>
        <w:rPr>
          <w:rFonts w:ascii="Calibri" w:cs="Calibri" w:eastAsia="Calibri" w:hAnsi="Calibri"/>
          <w:color w:val="222229"/>
          <w:sz w:val="21"/>
          <w:szCs w:val="21"/>
        </w:rPr>
        <w:t xml:space="preserve">Three VIP delegate tickets for the conference.</w:t>
      </w:r>
    </w:p>
    <w:p>
      <w:pPr>
        <w:pStyle w:val="ListParagraph"/>
        <w:numPr>
          <w:ilvl w:val="0"/>
          <w:numId w:val="1"/>
        </w:numPr>
        <w:spacing w:after="90" w:line="268"/>
      </w:pPr>
      <w:r>
        <w:rPr>
          <w:rFonts w:ascii="Calibri" w:cs="Calibri" w:eastAsia="Calibri" w:hAnsi="Calibri"/>
          <w:color w:val="222229"/>
          <w:sz w:val="21"/>
          <w:szCs w:val="21"/>
        </w:rPr>
        <w:t xml:space="preserve">Three social mentions across Build Resilience channels, timed around the event.</w:t>
      </w:r>
    </w:p>
    <w:p>
      <w:pPr>
        <w:pStyle w:val="ListParagraph"/>
        <w:numPr>
          <w:ilvl w:val="0"/>
          <w:numId w:val="1"/>
        </w:numPr>
        <w:spacing w:after="90" w:line="268"/>
      </w:pPr>
      <w:r>
        <w:rPr>
          <w:rFonts w:ascii="Calibri" w:cs="Calibri" w:eastAsia="Calibri" w:hAnsi="Calibri"/>
          <w:color w:val="222229"/>
          <w:sz w:val="21"/>
          <w:szCs w:val="21"/>
        </w:rPr>
        <w:t xml:space="preserve">Inclusion in the weekly Speaker Talks run-up, so the Nedbank name is working for weeks, not a single day.</w:t>
      </w:r>
    </w:p>
    <w:p>
      <w:pPr>
        <w:pStyle w:val="ListParagraph"/>
        <w:numPr>
          <w:ilvl w:val="0"/>
          <w:numId w:val="1"/>
        </w:numPr>
        <w:spacing w:after="90" w:line="268"/>
      </w:pPr>
      <w:r>
        <w:rPr>
          <w:rFonts w:ascii="Calibri" w:cs="Calibri" w:eastAsia="Calibri" w:hAnsi="Calibri"/>
          <w:color w:val="222229"/>
          <w:sz w:val="21"/>
          <w:szCs w:val="21"/>
        </w:rPr>
        <w:t xml:space="preserve">A share of the post-event impact report, covering delegate reach and the matriculant-development outcomes.</w:t>
      </w:r>
    </w:p>
    <w:p>
      <w:pPr>
        <w:spacing w:after="140" w:line="276"/>
      </w:pPr>
      <w:r>
        <w:rPr>
          <w:rFonts w:ascii="Calibri" w:cs="Calibri" w:eastAsia="Calibri" w:hAnsi="Calibri"/>
          <w:color w:val="222229"/>
          <w:sz w:val="21"/>
          <w:szCs w:val="21"/>
        </w:rPr>
        <w:t xml:space="preserve">And then the part that does not really fit on a benefits list: a group of Gauteng matriculants hosted in the room, associated with Nedbank’s support. A genuine development outcome, not a line item, and one that maps cleanly onto Nedbank’s own enterprise-development and education story.</w:t>
      </w:r>
    </w:p>
    <w:p>
      <w:r>
        <w:br w:type="page"/>
      </w:r>
    </w:p>
    <w:p>
      <w:pPr>
        <w:spacing w:after="60" w:before="360"/>
      </w:pPr>
      <w:r>
        <w:rPr>
          <w:rFonts w:ascii="Calibri" w:cs="Calibri" w:eastAsia="Calibri" w:hAnsi="Calibri"/>
          <w:b/>
          <w:bCs/>
          <w:color w:val="C9922A"/>
          <w:spacing w:val="30"/>
          <w:sz w:val="18"/>
          <w:szCs w:val="18"/>
        </w:rPr>
        <w:t xml:space="preserve">THE FULL PICTURE</w:t>
      </w:r>
    </w:p>
    <w:p>
      <w:pPr>
        <w:spacing w:after="140"/>
      </w:pPr>
      <w:r>
        <w:rPr>
          <w:rFonts w:ascii="Cambria" w:cs="Cambria" w:eastAsia="Cambria" w:hAnsi="Cambria"/>
          <w:b/>
          <w:bCs/>
          <w:color w:val="1A1A24"/>
          <w:sz w:val="30"/>
          <w:szCs w:val="30"/>
        </w:rPr>
        <w:t xml:space="preserve">Sponsorship tiers</w:t>
      </w:r>
    </w:p>
    <w:p>
      <w:pPr>
        <w:spacing w:after="160" w:line="276"/>
      </w:pPr>
      <w:r>
        <w:rPr>
          <w:rFonts w:ascii="Calibri" w:cs="Calibri" w:eastAsia="Calibri" w:hAnsi="Calibri"/>
          <w:color w:val="222229"/>
          <w:sz w:val="21"/>
          <w:szCs w:val="21"/>
        </w:rPr>
        <w:t xml:space="preserve">Gold is the tier we are proposing to Nedbank. The full menu is below, in case a different level fits better, or in case Nedbank would rather take the single Title slot and anchor the whole room.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1700"/>
        <w:gridCol w:w="1300"/>
        <w:gridCol w:w="4160"/>
      </w:tblGrid>
      <w:tr>
        <w:trPr>
          <w:tblHeader/>
        </w:trPr>
        <w:tc>
          <w:tcPr>
            <w:tcW w:type="dxa" w:w="2200"/>
            <w:tcBorders>
              <w:top w:val="none" w:color="FFFFFF" w:sz="0"/>
              <w:left w:val="none" w:color="FFFFFF" w:sz="0"/>
              <w:bottom w:val="none" w:color="FFFFFF" w:sz="0"/>
              <w:right w:val="none" w:color="FFFFFF" w:sz="0"/>
            </w:tcBorders>
            <w:shd w:fill="1A1A24" w:color="auto" w:val="clear"/>
            <w:tcMar>
              <w:top w:type="dxa" w:w="110"/>
              <w:left w:type="dxa" w:w="120"/>
              <w:bottom w:type="dxa" w:w="110"/>
              <w:right w:type="dxa" w:w="120"/>
            </w:tcMar>
          </w:tcPr>
          <w:p>
            <w:r>
              <w:rPr>
                <w:rFonts w:ascii="Calibri" w:cs="Calibri" w:eastAsia="Calibri" w:hAnsi="Calibri"/>
                <w:b/>
                <w:bCs/>
                <w:color w:val="C9922A"/>
                <w:sz w:val="17"/>
                <w:szCs w:val="17"/>
              </w:rPr>
              <w:t xml:space="preserve">Tier</w:t>
            </w:r>
          </w:p>
        </w:tc>
        <w:tc>
          <w:tcPr>
            <w:tcW w:type="dxa" w:w="1700"/>
            <w:tcBorders>
              <w:top w:val="none" w:color="FFFFFF" w:sz="0"/>
              <w:left w:val="none" w:color="FFFFFF" w:sz="0"/>
              <w:bottom w:val="none" w:color="FFFFFF" w:sz="0"/>
              <w:right w:val="none" w:color="FFFFFF" w:sz="0"/>
            </w:tcBorders>
            <w:shd w:fill="1A1A24" w:color="auto" w:val="clear"/>
            <w:tcMar>
              <w:top w:type="dxa" w:w="110"/>
              <w:left w:type="dxa" w:w="120"/>
              <w:bottom w:type="dxa" w:w="110"/>
              <w:right w:type="dxa" w:w="120"/>
            </w:tcMar>
          </w:tcPr>
          <w:p>
            <w:r>
              <w:rPr>
                <w:rFonts w:ascii="Calibri" w:cs="Calibri" w:eastAsia="Calibri" w:hAnsi="Calibri"/>
                <w:b/>
                <w:bCs/>
                <w:color w:val="C9922A"/>
                <w:sz w:val="17"/>
                <w:szCs w:val="17"/>
              </w:rPr>
              <w:t xml:space="preserve">Investment</w:t>
            </w:r>
          </w:p>
        </w:tc>
        <w:tc>
          <w:tcPr>
            <w:tcW w:type="dxa" w:w="1300"/>
            <w:tcBorders>
              <w:top w:val="none" w:color="FFFFFF" w:sz="0"/>
              <w:left w:val="none" w:color="FFFFFF" w:sz="0"/>
              <w:bottom w:val="none" w:color="FFFFFF" w:sz="0"/>
              <w:right w:val="none" w:color="FFFFFF" w:sz="0"/>
            </w:tcBorders>
            <w:shd w:fill="1A1A24" w:color="auto" w:val="clear"/>
            <w:tcMar>
              <w:top w:type="dxa" w:w="110"/>
              <w:left w:type="dxa" w:w="120"/>
              <w:bottom w:type="dxa" w:w="110"/>
              <w:right w:type="dxa" w:w="120"/>
            </w:tcMar>
          </w:tcPr>
          <w:p>
            <w:r>
              <w:rPr>
                <w:rFonts w:ascii="Calibri" w:cs="Calibri" w:eastAsia="Calibri" w:hAnsi="Calibri"/>
                <w:b/>
                <w:bCs/>
                <w:color w:val="C9922A"/>
                <w:sz w:val="17"/>
                <w:szCs w:val="17"/>
              </w:rPr>
              <w:t xml:space="preserve">Available</w:t>
            </w:r>
          </w:p>
        </w:tc>
        <w:tc>
          <w:tcPr>
            <w:tcW w:type="dxa" w:w="4160"/>
            <w:tcBorders>
              <w:top w:val="none" w:color="FFFFFF" w:sz="0"/>
              <w:left w:val="none" w:color="FFFFFF" w:sz="0"/>
              <w:bottom w:val="none" w:color="FFFFFF" w:sz="0"/>
              <w:right w:val="none" w:color="FFFFFF" w:sz="0"/>
            </w:tcBorders>
            <w:shd w:fill="1A1A24" w:color="auto" w:val="clear"/>
            <w:tcMar>
              <w:top w:type="dxa" w:w="110"/>
              <w:left w:type="dxa" w:w="120"/>
              <w:bottom w:type="dxa" w:w="110"/>
              <w:right w:type="dxa" w:w="120"/>
            </w:tcMar>
          </w:tcPr>
          <w:p>
            <w:r>
              <w:rPr>
                <w:rFonts w:ascii="Calibri" w:cs="Calibri" w:eastAsia="Calibri" w:hAnsi="Calibri"/>
                <w:b/>
                <w:bCs/>
                <w:color w:val="C9922A"/>
                <w:sz w:val="17"/>
                <w:szCs w:val="17"/>
              </w:rPr>
              <w:t xml:space="preserve">What it includes</w:t>
            </w:r>
          </w:p>
        </w:tc>
      </w:tr>
      <w:tr>
        <w:tc>
          <w:tcPr>
            <w:tcW w:type="dxa" w:w="22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bCs/>
                <w:color w:val="1A1A24"/>
                <w:sz w:val="18"/>
                <w:szCs w:val="18"/>
              </w:rPr>
              <w:t xml:space="preserve">Title / Platinum</w:t>
            </w:r>
          </w:p>
        </w:tc>
        <w:tc>
          <w:tcPr>
            <w:tcW w:type="dxa" w:w="17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8"/>
                <w:szCs w:val="18"/>
              </w:rPr>
              <w:t xml:space="preserve">R85,000</w:t>
            </w:r>
          </w:p>
        </w:tc>
        <w:tc>
          <w:tcPr>
            <w:tcW w:type="dxa" w:w="13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8"/>
                <w:szCs w:val="18"/>
              </w:rPr>
              <w:t xml:space="preserve">1</w:t>
            </w:r>
          </w:p>
        </w:tc>
        <w:tc>
          <w:tcPr>
            <w:tcW w:type="dxa" w:w="416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6"/>
                <w:szCs w:val="16"/>
              </w:rPr>
              <w:t xml:space="preserve">Naming rights, a 10-minute stage address, premium branding on all collateral, 5 VIP tickets, logo on all digital, impact report within 5 working days.</w:t>
            </w:r>
          </w:p>
        </w:tc>
      </w:tr>
      <w:tr>
        <w:tc>
          <w:tcPr>
            <w:tcW w:type="dxa" w:w="2200"/>
            <w:tcBorders>
              <w:top w:val="single" w:color="DFDACE" w:sz="2"/>
              <w:left w:val="none" w:color="FFFFFF" w:sz="0"/>
              <w:bottom w:val="single" w:color="DFDACE" w:sz="2"/>
              <w:right w:val="none" w:color="FFFFFF" w:sz="0"/>
            </w:tcBorders>
            <w:shd w:fill="F6ECD8" w:color="auto" w:val="clear"/>
            <w:tcMar>
              <w:top w:type="dxa" w:w="100"/>
              <w:left w:type="dxa" w:w="120"/>
              <w:bottom w:type="dxa" w:w="100"/>
              <w:right w:type="dxa" w:w="120"/>
            </w:tcMar>
          </w:tcPr>
          <w:p>
            <w:r>
              <w:rPr>
                <w:rFonts w:ascii="Calibri" w:cs="Calibri" w:eastAsia="Calibri" w:hAnsi="Calibri"/>
                <w:b/>
                <w:bCs/>
                <w:color w:val="1A1A24"/>
                <w:sz w:val="18"/>
                <w:szCs w:val="18"/>
              </w:rPr>
              <w:t xml:space="preserve">Gold</w:t>
            </w:r>
          </w:p>
        </w:tc>
        <w:tc>
          <w:tcPr>
            <w:tcW w:type="dxa" w:w="1700"/>
            <w:tcBorders>
              <w:top w:val="single" w:color="DFDACE" w:sz="2"/>
              <w:left w:val="none" w:color="FFFFFF" w:sz="0"/>
              <w:bottom w:val="single" w:color="DFDACE" w:sz="2"/>
              <w:right w:val="none" w:color="FFFFFF" w:sz="0"/>
            </w:tcBorders>
            <w:shd w:fill="F6ECD8" w:color="auto" w:val="clear"/>
            <w:tcMar>
              <w:top w:type="dxa" w:w="100"/>
              <w:left w:type="dxa" w:w="120"/>
              <w:bottom w:type="dxa" w:w="100"/>
              <w:right w:type="dxa" w:w="120"/>
            </w:tcMar>
          </w:tcPr>
          <w:p>
            <w:r>
              <w:rPr>
                <w:rFonts w:ascii="Calibri" w:cs="Calibri" w:eastAsia="Calibri" w:hAnsi="Calibri"/>
                <w:b/>
                <w:bCs/>
                <w:color w:val="222229"/>
                <w:sz w:val="18"/>
                <w:szCs w:val="18"/>
              </w:rPr>
              <w:t xml:space="preserve">R40,000</w:t>
            </w:r>
          </w:p>
        </w:tc>
        <w:tc>
          <w:tcPr>
            <w:tcW w:type="dxa" w:w="1300"/>
            <w:tcBorders>
              <w:top w:val="single" w:color="DFDACE" w:sz="2"/>
              <w:left w:val="none" w:color="FFFFFF" w:sz="0"/>
              <w:bottom w:val="single" w:color="DFDACE" w:sz="2"/>
              <w:right w:val="none" w:color="FFFFFF" w:sz="0"/>
            </w:tcBorders>
            <w:shd w:fill="F6ECD8" w:color="auto" w:val="clear"/>
            <w:tcMar>
              <w:top w:type="dxa" w:w="100"/>
              <w:left w:type="dxa" w:w="120"/>
              <w:bottom w:type="dxa" w:w="100"/>
              <w:right w:type="dxa" w:w="120"/>
            </w:tcMar>
          </w:tcPr>
          <w:p>
            <w:r>
              <w:rPr>
                <w:rFonts w:ascii="Calibri" w:cs="Calibri" w:eastAsia="Calibri" w:hAnsi="Calibri"/>
                <w:b/>
                <w:bCs/>
                <w:color w:val="222229"/>
                <w:sz w:val="18"/>
                <w:szCs w:val="18"/>
              </w:rPr>
              <w:t xml:space="preserve">2</w:t>
            </w:r>
          </w:p>
        </w:tc>
        <w:tc>
          <w:tcPr>
            <w:tcW w:type="dxa" w:w="4160"/>
            <w:tcBorders>
              <w:top w:val="single" w:color="DFDACE" w:sz="2"/>
              <w:left w:val="none" w:color="FFFFFF" w:sz="0"/>
              <w:bottom w:val="single" w:color="DFDACE" w:sz="2"/>
              <w:right w:val="none" w:color="FFFFFF" w:sz="0"/>
            </w:tcBorders>
            <w:shd w:fill="F6ECD8" w:color="auto" w:val="clear"/>
            <w:tcMar>
              <w:top w:type="dxa" w:w="100"/>
              <w:left w:type="dxa" w:w="120"/>
              <w:bottom w:type="dxa" w:w="100"/>
              <w:right w:type="dxa" w:w="120"/>
            </w:tcMar>
          </w:tcPr>
          <w:p>
            <w:r>
              <w:rPr>
                <w:rFonts w:ascii="Calibri" w:cs="Calibri" w:eastAsia="Calibri" w:hAnsi="Calibri"/>
                <w:b/>
                <w:bCs/>
                <w:color w:val="222229"/>
                <w:sz w:val="16"/>
                <w:szCs w:val="16"/>
              </w:rPr>
              <w:t xml:space="preserve">Stage and programme logo, a 3x3m exhibitor stall, 3 VIP tickets, 3 social mentions.</w:t>
            </w:r>
          </w:p>
        </w:tc>
      </w:tr>
      <w:tr>
        <w:tc>
          <w:tcPr>
            <w:tcW w:type="dxa" w:w="22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bCs/>
                <w:color w:val="1A1A24"/>
                <w:sz w:val="18"/>
                <w:szCs w:val="18"/>
              </w:rPr>
              <w:t xml:space="preserve">Silver</w:t>
            </w:r>
          </w:p>
        </w:tc>
        <w:tc>
          <w:tcPr>
            <w:tcW w:type="dxa" w:w="17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8"/>
                <w:szCs w:val="18"/>
              </w:rPr>
              <w:t xml:space="preserve">R20,000</w:t>
            </w:r>
          </w:p>
        </w:tc>
        <w:tc>
          <w:tcPr>
            <w:tcW w:type="dxa" w:w="13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8"/>
                <w:szCs w:val="18"/>
              </w:rPr>
              <w:t xml:space="preserve">3</w:t>
            </w:r>
          </w:p>
        </w:tc>
        <w:tc>
          <w:tcPr>
            <w:tcW w:type="dxa" w:w="416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6"/>
                <w:szCs w:val="16"/>
              </w:rPr>
              <w:t xml:space="preserve">Programme and backdrop logo, 2 standard tickets, an event-day social mention.</w:t>
            </w:r>
          </w:p>
        </w:tc>
      </w:tr>
      <w:tr>
        <w:tc>
          <w:tcPr>
            <w:tcW w:type="dxa" w:w="22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bCs/>
                <w:color w:val="1A1A24"/>
                <w:sz w:val="18"/>
                <w:szCs w:val="18"/>
              </w:rPr>
              <w:t xml:space="preserve">Bronze</w:t>
            </w:r>
          </w:p>
        </w:tc>
        <w:tc>
          <w:tcPr>
            <w:tcW w:type="dxa" w:w="17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8"/>
                <w:szCs w:val="18"/>
              </w:rPr>
              <w:t xml:space="preserve">R8,000</w:t>
            </w:r>
          </w:p>
        </w:tc>
        <w:tc>
          <w:tcPr>
            <w:tcW w:type="dxa" w:w="13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8"/>
                <w:szCs w:val="18"/>
              </w:rPr>
              <w:t xml:space="preserve">4</w:t>
            </w:r>
          </w:p>
        </w:tc>
        <w:tc>
          <w:tcPr>
            <w:tcW w:type="dxa" w:w="416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6"/>
                <w:szCs w:val="16"/>
              </w:rPr>
              <w:t xml:space="preserve">Programme logo, 1 standard ticket, a stage acknowledgement.</w:t>
            </w:r>
          </w:p>
        </w:tc>
      </w:tr>
      <w:tr>
        <w:tc>
          <w:tcPr>
            <w:tcW w:type="dxa" w:w="22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bCs/>
                <w:color w:val="1A1A24"/>
                <w:sz w:val="18"/>
                <w:szCs w:val="18"/>
              </w:rPr>
              <w:t xml:space="preserve">In-kind / Supporting</w:t>
            </w:r>
          </w:p>
        </w:tc>
        <w:tc>
          <w:tcPr>
            <w:tcW w:type="dxa" w:w="17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8"/>
                <w:szCs w:val="18"/>
              </w:rPr>
              <w:t xml:space="preserve">Contribution-based</w:t>
            </w:r>
          </w:p>
        </w:tc>
        <w:tc>
          <w:tcPr>
            <w:tcW w:type="dxa" w:w="130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8"/>
                <w:szCs w:val="18"/>
              </w:rPr>
              <w:t xml:space="preserve">–</w:t>
            </w:r>
          </w:p>
        </w:tc>
        <w:tc>
          <w:tcPr>
            <w:tcW w:type="dxa" w:w="4160"/>
            <w:tcBorders>
              <w:top w:val="single" w:color="DFDACE" w:sz="2"/>
              <w:left w:val="none" w:color="FFFFFF" w:sz="0"/>
              <w:bottom w:val="single" w:color="DFDACE" w:sz="2"/>
              <w:right w:val="none" w:color="FFFFFF" w:sz="0"/>
            </w:tcBorders>
            <w:shd w:fill="FFFFFF" w:color="auto" w:val="clear"/>
            <w:tcMar>
              <w:top w:type="dxa" w:w="100"/>
              <w:left w:type="dxa" w:w="120"/>
              <w:bottom w:type="dxa" w:w="100"/>
              <w:right w:type="dxa" w:w="120"/>
            </w:tcMar>
          </w:tcPr>
          <w:p>
            <w:r>
              <w:rPr>
                <w:rFonts w:ascii="Calibri" w:cs="Calibri" w:eastAsia="Calibri" w:hAnsi="Calibri"/>
                <w:b w:val="false"/>
                <w:bCs w:val="false"/>
                <w:color w:val="222229"/>
                <w:sz w:val="16"/>
                <w:szCs w:val="16"/>
              </w:rPr>
              <w:t xml:space="preserve">Acknowledged from the stage and in the programme.</w:t>
            </w:r>
          </w:p>
        </w:tc>
      </w:tr>
    </w:tbl>
    <w:p>
      <w:pPr>
        <w:spacing w:before="140"/>
      </w:pPr>
      <w:r>
        <w:rPr>
          <w:rFonts w:ascii="Calibri" w:cs="Calibri" w:eastAsia="Calibri" w:hAnsi="Calibri"/>
          <w:color w:val="6B6B73"/>
          <w:sz w:val="19"/>
          <w:szCs w:val="19"/>
        </w:rPr>
        <w:t xml:space="preserve">In-kind and supporting partners are welcome too. These are contribution-based, and are acknowledged from the stage and in the programme.</w:t>
      </w:r>
    </w:p>
    <w:p>
      <w:pPr>
        <w:spacing w:after="60" w:before="360"/>
      </w:pPr>
      <w:r>
        <w:rPr>
          <w:rFonts w:ascii="Calibri" w:cs="Calibri" w:eastAsia="Calibri" w:hAnsi="Calibri"/>
          <w:b/>
          <w:bCs/>
          <w:color w:val="C9922A"/>
          <w:spacing w:val="30"/>
          <w:sz w:val="18"/>
          <w:szCs w:val="18"/>
        </w:rPr>
        <w:t xml:space="preserve">THE PROPOSED ROLE-PLAYERS</w:t>
      </w:r>
    </w:p>
    <w:p>
      <w:pPr>
        <w:spacing w:after="140"/>
      </w:pPr>
      <w:r>
        <w:rPr>
          <w:rFonts w:ascii="Cambria" w:cs="Cambria" w:eastAsia="Cambria" w:hAnsi="Cambria"/>
          <w:b/>
          <w:bCs/>
          <w:color w:val="1A1A24"/>
          <w:sz w:val="30"/>
          <w:szCs w:val="30"/>
        </w:rPr>
        <w:t xml:space="preserve">Who we would convene</w:t>
      </w:r>
    </w:p>
    <w:p>
      <w:pPr>
        <w:spacing w:after="130" w:line="268"/>
      </w:pPr>
      <w:r>
        <w:rPr>
          <w:rFonts w:ascii="Calibri" w:cs="Calibri" w:eastAsia="Calibri" w:hAnsi="Calibri"/>
          <w:b/>
          <w:bCs/>
          <w:color w:val="1A1A24"/>
          <w:sz w:val="21"/>
          <w:szCs w:val="21"/>
        </w:rPr>
        <w:t xml:space="preserve">Build Resilience (Pty) Ltd.  </w:t>
      </w:r>
      <w:r>
        <w:rPr>
          <w:rFonts w:ascii="Calibri" w:cs="Calibri" w:eastAsia="Calibri" w:hAnsi="Calibri"/>
          <w:color w:val="222229"/>
          <w:sz w:val="21"/>
          <w:szCs w:val="21"/>
        </w:rPr>
        <w:t xml:space="preserve">The Gauteng company designing and producing the conference, and the year-round content programme around it. Wholly owned by Kingdom Faith Worship Centre NPC (PBO status pending).</w:t>
      </w:r>
    </w:p>
    <w:p>
      <w:pPr>
        <w:spacing w:after="130" w:line="268"/>
      </w:pPr>
      <w:r>
        <w:rPr>
          <w:rFonts w:ascii="Calibri" w:cs="Calibri" w:eastAsia="Calibri" w:hAnsi="Calibri"/>
          <w:b/>
          <w:bCs/>
          <w:color w:val="1A1A24"/>
          <w:sz w:val="21"/>
          <w:szCs w:val="21"/>
        </w:rPr>
        <w:t xml:space="preserve">Tembisa Commerce and Entrepreneurship School of Specialisation.  </w:t>
      </w:r>
      <w:r>
        <w:rPr>
          <w:rFonts w:ascii="Calibri" w:cs="Calibri" w:eastAsia="Calibri" w:hAnsi="Calibri"/>
          <w:color w:val="222229"/>
          <w:sz w:val="21"/>
          <w:szCs w:val="21"/>
        </w:rPr>
        <w:t xml:space="preserve">Ekurhuleni’s first entrepreneurship-focused School of Specialisation, teaching learners commerce, finance, hospitality and tourism through practical, venture-based facilities.</w:t>
      </w:r>
    </w:p>
    <w:p>
      <w:pPr>
        <w:spacing w:after="130" w:line="268"/>
      </w:pPr>
      <w:r>
        <w:rPr>
          <w:rFonts w:ascii="Calibri" w:cs="Calibri" w:eastAsia="Calibri" w:hAnsi="Calibri"/>
          <w:b/>
          <w:bCs/>
          <w:color w:val="1A1A24"/>
          <w:sz w:val="21"/>
          <w:szCs w:val="21"/>
        </w:rPr>
        <w:t xml:space="preserve">Oosrand Commerce and Entrepreneurship School of Specialisation.  </w:t>
      </w:r>
      <w:r>
        <w:rPr>
          <w:rFonts w:ascii="Calibri" w:cs="Calibri" w:eastAsia="Calibri" w:hAnsi="Calibri"/>
          <w:color w:val="222229"/>
          <w:sz w:val="21"/>
          <w:szCs w:val="21"/>
        </w:rPr>
        <w:t xml:space="preserve">Launched in 2023 in Reiger Park, Boksburg, focused on finance, tourism, hospitality and entrepreneurship, with learners running real ventures on the school premises.</w:t>
      </w:r>
    </w:p>
    <w:p>
      <w:pPr>
        <w:spacing w:after="130" w:line="268"/>
      </w:pPr>
      <w:r>
        <w:rPr>
          <w:rFonts w:ascii="Calibri" w:cs="Calibri" w:eastAsia="Calibri" w:hAnsi="Calibri"/>
          <w:b/>
          <w:bCs/>
          <w:color w:val="1A1A24"/>
          <w:sz w:val="21"/>
          <w:szCs w:val="21"/>
        </w:rPr>
        <w:t xml:space="preserve">Gauteng Department of Education.  </w:t>
      </w:r>
      <w:r>
        <w:rPr>
          <w:rFonts w:ascii="Calibri" w:cs="Calibri" w:eastAsia="Calibri" w:hAnsi="Calibri"/>
          <w:color w:val="222229"/>
          <w:sz w:val="21"/>
          <w:szCs w:val="21"/>
        </w:rPr>
        <w:t xml:space="preserve">The provincial partner behind the Schools of Specialisation, and our proposed partner for selecting and hosting the matriculants.</w:t>
      </w:r>
    </w:p>
    <w:p>
      <w:pPr>
        <w:spacing w:after="60" w:before="360"/>
      </w:pPr>
      <w:r>
        <w:rPr>
          <w:rFonts w:ascii="Calibri" w:cs="Calibri" w:eastAsia="Calibri" w:hAnsi="Calibri"/>
          <w:b/>
          <w:bCs/>
          <w:color w:val="C9922A"/>
          <w:spacing w:val="30"/>
          <w:sz w:val="18"/>
          <w:szCs w:val="18"/>
        </w:rPr>
        <w:t xml:space="preserve">NEXT STEPS</w:t>
      </w:r>
    </w:p>
    <w:p>
      <w:pPr>
        <w:spacing w:after="140"/>
      </w:pPr>
      <w:r>
        <w:rPr>
          <w:rFonts w:ascii="Cambria" w:cs="Cambria" w:eastAsia="Cambria" w:hAnsi="Cambria"/>
          <w:b/>
          <w:bCs/>
          <w:color w:val="1A1A24"/>
          <w:sz w:val="30"/>
          <w:szCs w:val="30"/>
        </w:rPr>
        <w:t xml:space="preserve">How we take this forward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0"/>
              <w:bottom w:type="dxa" w:w="40"/>
              <w:right w:type="dxa" w:w="0"/>
            </w:tcMar>
            <w:vAlign w:val="top"/>
          </w:tcPr>
          <w:p>
            <w:r>
              <w:rPr>
                <w:rFonts w:ascii="Cambria" w:cs="Cambria" w:eastAsia="Cambria" w:hAnsi="Cambria"/>
                <w:b/>
                <w:bCs/>
                <w:color w:val="C9922A"/>
                <w:sz w:val="24"/>
                <w:szCs w:val="24"/>
              </w:rPr>
              <w:t xml:space="preserve">1</w:t>
            </w:r>
          </w:p>
        </w:tc>
        <w:tc>
          <w:tcPr>
            <w:tcW w:type="dxa" w:w="8800"/>
            <w:tcBorders>
              <w:top w:val="none" w:color="FFFFFF" w:sz="0"/>
              <w:left w:val="none" w:color="FFFFFF" w:sz="0"/>
              <w:bottom w:val="none" w:color="FFFFFF" w:sz="0"/>
              <w:right w:val="none" w:color="FFFFFF" w:sz="0"/>
            </w:tcBorders>
            <w:tcMar>
              <w:top w:type="dxa" w:w="40"/>
              <w:left w:type="dxa" w:w="40"/>
              <w:bottom w:type="dxa" w:w="100"/>
              <w:right w:type="dxa" w:w="0"/>
            </w:tcMar>
            <w:vAlign w:val="center"/>
          </w:tcPr>
          <w:p>
            <w:r>
              <w:rPr>
                <w:rFonts w:ascii="Calibri" w:cs="Calibri" w:eastAsia="Calibri" w:hAnsi="Calibri"/>
                <w:color w:val="222229"/>
                <w:sz w:val="21"/>
                <w:szCs w:val="21"/>
              </w:rPr>
              <w:t xml:space="preserve">A first conversation to walk Nedbank through the Gold sponsorship and answer whatever questions come up.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0"/>
              <w:bottom w:type="dxa" w:w="40"/>
              <w:right w:type="dxa" w:w="0"/>
            </w:tcMar>
            <w:vAlign w:val="top"/>
          </w:tcPr>
          <w:p>
            <w:r>
              <w:rPr>
                <w:rFonts w:ascii="Cambria" w:cs="Cambria" w:eastAsia="Cambria" w:hAnsi="Cambria"/>
                <w:b/>
                <w:bCs/>
                <w:color w:val="C9922A"/>
                <w:sz w:val="24"/>
                <w:szCs w:val="24"/>
              </w:rPr>
              <w:t xml:space="preserve">2</w:t>
            </w:r>
          </w:p>
        </w:tc>
        <w:tc>
          <w:tcPr>
            <w:tcW w:type="dxa" w:w="8800"/>
            <w:tcBorders>
              <w:top w:val="none" w:color="FFFFFF" w:sz="0"/>
              <w:left w:val="none" w:color="FFFFFF" w:sz="0"/>
              <w:bottom w:val="none" w:color="FFFFFF" w:sz="0"/>
              <w:right w:val="none" w:color="FFFFFF" w:sz="0"/>
            </w:tcBorders>
            <w:tcMar>
              <w:top w:type="dxa" w:w="40"/>
              <w:left w:type="dxa" w:w="40"/>
              <w:bottom w:type="dxa" w:w="100"/>
              <w:right w:type="dxa" w:w="0"/>
            </w:tcMar>
            <w:vAlign w:val="center"/>
          </w:tcPr>
          <w:p>
            <w:r>
              <w:rPr>
                <w:rFonts w:ascii="Calibri" w:cs="Calibri" w:eastAsia="Calibri" w:hAnsi="Calibri"/>
                <w:color w:val="222229"/>
                <w:sz w:val="21"/>
                <w:szCs w:val="21"/>
              </w:rPr>
              <w:t xml:space="preserve">Nedbank confirms the sponsorship and the tier.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0"/>
              <w:bottom w:type="dxa" w:w="40"/>
              <w:right w:type="dxa" w:w="0"/>
            </w:tcMar>
            <w:vAlign w:val="top"/>
          </w:tcPr>
          <w:p>
            <w:r>
              <w:rPr>
                <w:rFonts w:ascii="Cambria" w:cs="Cambria" w:eastAsia="Cambria" w:hAnsi="Cambria"/>
                <w:b/>
                <w:bCs/>
                <w:color w:val="C9922A"/>
                <w:sz w:val="24"/>
                <w:szCs w:val="24"/>
              </w:rPr>
              <w:t xml:space="preserve">3</w:t>
            </w:r>
          </w:p>
        </w:tc>
        <w:tc>
          <w:tcPr>
            <w:tcW w:type="dxa" w:w="8800"/>
            <w:tcBorders>
              <w:top w:val="none" w:color="FFFFFF" w:sz="0"/>
              <w:left w:val="none" w:color="FFFFFF" w:sz="0"/>
              <w:bottom w:val="none" w:color="FFFFFF" w:sz="0"/>
              <w:right w:val="none" w:color="FFFFFF" w:sz="0"/>
            </w:tcBorders>
            <w:tcMar>
              <w:top w:type="dxa" w:w="40"/>
              <w:left w:type="dxa" w:w="40"/>
              <w:bottom w:type="dxa" w:w="100"/>
              <w:right w:type="dxa" w:w="0"/>
            </w:tcMar>
            <w:vAlign w:val="center"/>
          </w:tcPr>
          <w:p>
            <w:r>
              <w:rPr>
                <w:rFonts w:ascii="Calibri" w:cs="Calibri" w:eastAsia="Calibri" w:hAnsi="Calibri"/>
                <w:color w:val="222229"/>
                <w:sz w:val="21"/>
                <w:szCs w:val="21"/>
              </w:rPr>
              <w:t xml:space="preserve">We plan the stall together, so your business banking and SimplyBiz teams get the most out of the day.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0"/>
              <w:bottom w:type="dxa" w:w="40"/>
              <w:right w:type="dxa" w:w="0"/>
            </w:tcMar>
            <w:vAlign w:val="top"/>
          </w:tcPr>
          <w:p>
            <w:r>
              <w:rPr>
                <w:rFonts w:ascii="Cambria" w:cs="Cambria" w:eastAsia="Cambria" w:hAnsi="Cambria"/>
                <w:b/>
                <w:bCs/>
                <w:color w:val="C9922A"/>
                <w:sz w:val="24"/>
                <w:szCs w:val="24"/>
              </w:rPr>
              <w:t xml:space="preserve">4</w:t>
            </w:r>
          </w:p>
        </w:tc>
        <w:tc>
          <w:tcPr>
            <w:tcW w:type="dxa" w:w="8800"/>
            <w:tcBorders>
              <w:top w:val="none" w:color="FFFFFF" w:sz="0"/>
              <w:left w:val="none" w:color="FFFFFF" w:sz="0"/>
              <w:bottom w:val="none" w:color="FFFFFF" w:sz="0"/>
              <w:right w:val="none" w:color="FFFFFF" w:sz="0"/>
            </w:tcBorders>
            <w:tcMar>
              <w:top w:type="dxa" w:w="40"/>
              <w:left w:type="dxa" w:w="40"/>
              <w:bottom w:type="dxa" w:w="100"/>
              <w:right w:type="dxa" w:w="0"/>
            </w:tcMar>
            <w:vAlign w:val="center"/>
          </w:tcPr>
          <w:p>
            <w:r>
              <w:rPr>
                <w:rFonts w:ascii="Calibri" w:cs="Calibri" w:eastAsia="Calibri" w:hAnsi="Calibri"/>
                <w:color w:val="222229"/>
                <w:sz w:val="21"/>
                <w:szCs w:val="21"/>
              </w:rPr>
              <w:t xml:space="preserve">We shape the matriculant hosting together with the Gauteng Department of Education and the two schools.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0"/>
              <w:bottom w:type="dxa" w:w="40"/>
              <w:right w:type="dxa" w:w="0"/>
            </w:tcMar>
            <w:vAlign w:val="top"/>
          </w:tcPr>
          <w:p>
            <w:r>
              <w:rPr>
                <w:rFonts w:ascii="Cambria" w:cs="Cambria" w:eastAsia="Cambria" w:hAnsi="Cambria"/>
                <w:b/>
                <w:bCs/>
                <w:color w:val="C9922A"/>
                <w:sz w:val="24"/>
                <w:szCs w:val="24"/>
              </w:rPr>
              <w:t xml:space="preserve">5</w:t>
            </w:r>
          </w:p>
        </w:tc>
        <w:tc>
          <w:tcPr>
            <w:tcW w:type="dxa" w:w="8800"/>
            <w:tcBorders>
              <w:top w:val="none" w:color="FFFFFF" w:sz="0"/>
              <w:left w:val="none" w:color="FFFFFF" w:sz="0"/>
              <w:bottom w:val="none" w:color="FFFFFF" w:sz="0"/>
              <w:right w:val="none" w:color="FFFFFF" w:sz="0"/>
            </w:tcBorders>
            <w:tcMar>
              <w:top w:type="dxa" w:w="40"/>
              <w:left w:type="dxa" w:w="40"/>
              <w:bottom w:type="dxa" w:w="100"/>
              <w:right w:type="dxa" w:w="0"/>
            </w:tcMar>
            <w:vAlign w:val="center"/>
          </w:tcPr>
          <w:p>
            <w:r>
              <w:rPr>
                <w:rFonts w:ascii="Calibri" w:cs="Calibri" w:eastAsia="Calibri" w:hAnsi="Calibri"/>
                <w:color w:val="222229"/>
                <w:sz w:val="21"/>
                <w:szCs w:val="21"/>
              </w:rPr>
              <w:t xml:space="preserve">We settle the detail and put it in a simple sponsorship agreement.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0"/>
              <w:bottom w:type="dxa" w:w="40"/>
              <w:right w:type="dxa" w:w="0"/>
            </w:tcMar>
            <w:vAlign w:val="top"/>
          </w:tcPr>
          <w:p>
            <w:r>
              <w:rPr>
                <w:rFonts w:ascii="Cambria" w:cs="Cambria" w:eastAsia="Cambria" w:hAnsi="Cambria"/>
                <w:b/>
                <w:bCs/>
                <w:color w:val="C9922A"/>
                <w:sz w:val="24"/>
                <w:szCs w:val="24"/>
              </w:rPr>
              <w:t xml:space="preserve">6</w:t>
            </w:r>
          </w:p>
        </w:tc>
        <w:tc>
          <w:tcPr>
            <w:tcW w:type="dxa" w:w="8800"/>
            <w:tcBorders>
              <w:top w:val="none" w:color="FFFFFF" w:sz="0"/>
              <w:left w:val="none" w:color="FFFFFF" w:sz="0"/>
              <w:bottom w:val="none" w:color="FFFFFF" w:sz="0"/>
              <w:right w:val="none" w:color="FFFFFF" w:sz="0"/>
            </w:tcBorders>
            <w:tcMar>
              <w:top w:type="dxa" w:w="40"/>
              <w:left w:type="dxa" w:w="40"/>
              <w:bottom w:type="dxa" w:w="100"/>
              <w:right w:type="dxa" w:w="0"/>
            </w:tcMar>
            <w:vAlign w:val="center"/>
          </w:tcPr>
          <w:p>
            <w:r>
              <w:rPr>
                <w:rFonts w:ascii="Calibri" w:cs="Calibri" w:eastAsia="Calibri" w:hAnsi="Calibri"/>
                <w:color w:val="222229"/>
                <w:sz w:val="21"/>
                <w:szCs w:val="21"/>
              </w:rPr>
              <w:t xml:space="preserve">Benefits activate immediately. Nedbank branding goes live across the pre-event content series straight away, so the name is working long before 29 October.</w:t>
            </w:r>
          </w:p>
        </w:tc>
      </w:tr>
    </w:tbl>
    <w:p>
      <w:pPr>
        <w:sectPr>
          <w:pgSz w:w="12240" w:h="15840" w:orient="portrait"/>
          <w:pgMar w:top="1200" w:right="1440" w:bottom="1200" w:left="1440" w:header="708" w:footer="708" w:gutter="0"/>
          <w:pgNumType/>
          <w:docGrid w:linePitch="360"/>
        </w:sectPr>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trHeight w:val="13200" w:hRule="exact"/>
        </w:trPr>
        <w:tc>
          <w:tcPr>
            <w:tcW w:type="dxa" w:w="9360"/>
            <w:tcBorders>
              <w:top w:val="none" w:color="FFFFFF" w:sz="0"/>
              <w:left w:val="none" w:color="FFFFFF" w:sz="0"/>
              <w:bottom w:val="none" w:color="FFFFFF" w:sz="0"/>
              <w:right w:val="none" w:color="FFFFFF" w:sz="0"/>
            </w:tcBorders>
            <w:shd w:fill="1A1A24" w:color="auto" w:val="clear"/>
            <w:tcMar>
              <w:top w:type="dxa" w:w="400"/>
              <w:left w:type="dxa" w:w="500"/>
              <w:bottom w:type="dxa" w:w="400"/>
              <w:right w:type="dxa" w:w="500"/>
            </w:tcMar>
            <w:vAlign w:val="top"/>
          </w:tcPr>
          <w:p>
            <w:pPr>
              <w:spacing w:after="200" w:before="1000"/>
            </w:pPr>
            <w:r>
              <w:rPr>
                <w:rFonts w:ascii="Calibri" w:cs="Calibri" w:eastAsia="Calibri" w:hAnsi="Calibri"/>
                <w:b/>
                <w:bCs/>
                <w:color w:val="C9922A"/>
                <w:spacing w:val="60"/>
                <w:sz w:val="22"/>
                <w:szCs w:val="22"/>
              </w:rPr>
              <w:t xml:space="preserve">LET’S BUILD IT</w:t>
            </w:r>
          </w:p>
          <w:p>
            <w:pPr>
              <w:spacing w:after="520"/>
            </w:pPr>
            <w:r>
              <w:rPr>
                <w:rFonts w:ascii="Cambria" w:cs="Cambria" w:eastAsia="Cambria" w:hAnsi="Cambria"/>
                <w:b/>
                <w:bCs/>
                <w:i/>
                <w:iCs/>
                <w:color w:val="FFFFFF"/>
                <w:sz w:val="40"/>
                <w:szCs w:val="40"/>
              </w:rPr>
              <w:t xml:space="preserve">“Resilience is built, not born.”</w:t>
            </w:r>
          </w:p>
          <w:p>
            <w:pPr>
              <w:spacing w:after="30"/>
            </w:pPr>
            <w:r>
              <w:rPr>
                <w:rFonts w:ascii="Cambria" w:cs="Cambria" w:eastAsia="Cambria" w:hAnsi="Cambria"/>
                <w:b/>
                <w:bCs/>
                <w:color w:val="FFFFFF"/>
                <w:sz w:val="26"/>
                <w:szCs w:val="26"/>
              </w:rPr>
              <w:t xml:space="preserve">Sifiso Sibuyane</w:t>
            </w:r>
          </w:p>
          <w:p>
            <w:pPr>
              <w:spacing w:after="220"/>
            </w:pPr>
            <w:r>
              <w:rPr>
                <w:rFonts w:ascii="Calibri" w:cs="Calibri" w:eastAsia="Calibri" w:hAnsi="Calibri"/>
                <w:color w:val="D8D6CE"/>
                <w:sz w:val="21"/>
                <w:szCs w:val="21"/>
              </w:rPr>
              <w:t xml:space="preserve">Build Resilience (Pty) Ltd</w:t>
            </w:r>
          </w:p>
          <w:p>
            <w:pPr>
              <w:spacing w:after="30"/>
            </w:pPr>
            <w:r>
              <w:rPr>
                <w:rFonts w:ascii="Calibri" w:cs="Calibri" w:eastAsia="Calibri" w:hAnsi="Calibri"/>
                <w:color w:val="F2F0E9"/>
                <w:sz w:val="20"/>
                <w:szCs w:val="20"/>
              </w:rPr>
              <w:t xml:space="preserve">info@buildresilience.co.za    ·    078 044 3373</w:t>
            </w:r>
          </w:p>
          <w:p>
            <w:pPr>
              <w:spacing w:after="520"/>
            </w:pPr>
            <w:r>
              <w:rPr>
                <w:rFonts w:ascii="Calibri" w:cs="Calibri" w:eastAsia="Calibri" w:hAnsi="Calibri"/>
                <w:color w:val="F2F0E9"/>
                <w:sz w:val="20"/>
                <w:szCs w:val="20"/>
              </w:rPr>
              <w:t xml:space="preserve">buildresilience.co.za    ·    Gauteng, South Africa</w:t>
            </w:r>
          </w:p>
          <w:p>
            <w:r>
              <w:rPr>
                <w:rFonts w:ascii="Cambria" w:cs="Cambria" w:eastAsia="Cambria" w:hAnsi="Cambria"/>
                <w:i/>
                <w:iCs/>
                <w:color w:val="C9922A"/>
                <w:sz w:val="22"/>
                <w:szCs w:val="22"/>
              </w:rPr>
              <w:t xml:space="preserve">“Where leaders come to sharpen each other.”</w:t>
            </w:r>
          </w:p>
        </w:tc>
      </w:tr>
    </w:tbl>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2026-07-11T10:06:52.382Z</dcterms:created>
  <dcterms:modified xsi:type="dcterms:W3CDTF">2026-07-11T10:06:52.382Z</dcterms:modified>
</cp:coreProperties>
</file>

<file path=docProps/custom.xml><?xml version="1.0" encoding="utf-8"?>
<Properties xmlns="http://schemas.openxmlformats.org/officeDocument/2006/custom-properties" xmlns:vt="http://schemas.openxmlformats.org/officeDocument/2006/docPropsVTypes"/>
</file>