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8E9DE" w14:textId="15F63C30" w:rsidR="00C35B7F" w:rsidRPr="00842EDB" w:rsidRDefault="00BC1450" w:rsidP="00C35B7F">
      <w:pPr>
        <w:rPr>
          <w:b/>
          <w:sz w:val="30"/>
          <w:szCs w:val="30"/>
        </w:rPr>
      </w:pPr>
      <w:r>
        <w:rPr>
          <w:b/>
          <w:sz w:val="30"/>
          <w:szCs w:val="30"/>
        </w:rPr>
        <w:t>Methods as an organizing structure for science: professional biomedical literature as an example</w:t>
      </w:r>
    </w:p>
    <w:p w14:paraId="6DC0B15A" w14:textId="025FB8A1" w:rsidR="00C35B7F" w:rsidRPr="00C35B7F" w:rsidRDefault="00C35B7F" w:rsidP="00C35B7F">
      <w:r w:rsidRPr="00C35B7F">
        <w:t>Jodi Schneider</w:t>
      </w:r>
    </w:p>
    <w:p w14:paraId="2D3AB050" w14:textId="54DAE818" w:rsidR="00C35B7F" w:rsidRPr="00C35B7F" w:rsidRDefault="00C35B7F" w:rsidP="00C35B7F">
      <w:r w:rsidRPr="00C35B7F">
        <w:t>School of Information Sciences, 501 E. Daniel Street, Champaign, IL 61820</w:t>
      </w:r>
    </w:p>
    <w:p w14:paraId="33AB7C72" w14:textId="56A7E742" w:rsidR="00C35B7F" w:rsidRPr="00842EDB" w:rsidRDefault="00C35B7F" w:rsidP="00C35B7F">
      <w:r>
        <w:t>jschneider@pobox.com</w:t>
      </w:r>
    </w:p>
    <w:p w14:paraId="7269BDDD" w14:textId="56466942" w:rsidR="00E25154" w:rsidRDefault="00E25154" w:rsidP="00E25154"/>
    <w:p w14:paraId="64DD17DA" w14:textId="4772EBE9" w:rsidR="0023797B" w:rsidRDefault="0023797B" w:rsidP="007624C5">
      <w:r>
        <w:t xml:space="preserve">This paper argues that methods can be seen as a </w:t>
      </w:r>
      <w:proofErr w:type="spellStart"/>
      <w:r>
        <w:t>meso</w:t>
      </w:r>
      <w:proofErr w:type="spellEnd"/>
      <w:r>
        <w:t xml:space="preserve">-level organizing structure in science. Domains of study can be defined in terms of the questions or problems they take as a starting point, the assumptions they take for granted, or the methods that they use. </w:t>
      </w:r>
    </w:p>
    <w:p w14:paraId="1ED1194C" w14:textId="56C42F4E" w:rsidR="0023797B" w:rsidRDefault="0023797B" w:rsidP="007624C5"/>
    <w:p w14:paraId="71DF548E" w14:textId="6571B8A1" w:rsidR="0023797B" w:rsidRDefault="0023797B" w:rsidP="0023797B">
      <w:r>
        <w:t xml:space="preserve">This paper argues, more specifically, </w:t>
      </w:r>
      <w:r>
        <w:t>that</w:t>
      </w:r>
      <w:r>
        <w:t xml:space="preserve"> in the</w:t>
      </w:r>
      <w:r>
        <w:t xml:space="preserve"> biomedical literature</w:t>
      </w:r>
      <w:r>
        <w:t xml:space="preserve"> methods can be seen as an organizing structure that bridge between individual papers reporting research, and idealized notions of how research in biomedicine is done. To do this, the paper analyzes t</w:t>
      </w:r>
      <w:r w:rsidR="00231F2B" w:rsidRPr="002B2E36">
        <w:t xml:space="preserve">hree methodology-focused Knowledge Organization Systems (KOSs) used for organizing </w:t>
      </w:r>
      <w:r w:rsidR="00231F2B">
        <w:t xml:space="preserve">and retrieving </w:t>
      </w:r>
      <w:r w:rsidR="00231F2B" w:rsidRPr="002B2E36">
        <w:t xml:space="preserve">clinical </w:t>
      </w:r>
      <w:r w:rsidR="00231F2B">
        <w:t xml:space="preserve">medical </w:t>
      </w:r>
      <w:r w:rsidR="00231F2B" w:rsidRPr="002B2E36">
        <w:t>research literature</w:t>
      </w:r>
      <w:r w:rsidR="00231F2B">
        <w:t>.</w:t>
      </w:r>
      <w:r w:rsidR="00231F2B" w:rsidRPr="002B2E36">
        <w:t xml:space="preserve"> </w:t>
      </w:r>
      <w:r>
        <w:t xml:space="preserve">One </w:t>
      </w:r>
      <w:r>
        <w:t xml:space="preserve">KOS is primarily </w:t>
      </w:r>
      <w:r w:rsidRPr="002B2E36">
        <w:t xml:space="preserve">used to design clinical research, and </w:t>
      </w:r>
      <w:r>
        <w:t xml:space="preserve">the other </w:t>
      </w:r>
      <w:r w:rsidRPr="002B2E36">
        <w:t xml:space="preserve">two </w:t>
      </w:r>
      <w:r>
        <w:t xml:space="preserve">are primarily </w:t>
      </w:r>
      <w:r w:rsidRPr="002B2E36">
        <w:t>used to appraise it. The examples are drawn from epidemiology, evidence-based medicine, and knowledge/evidence base construction</w:t>
      </w:r>
      <w:r>
        <w:t xml:space="preserve">; </w:t>
      </w:r>
      <w:r w:rsidRPr="002B2E36">
        <w:t>are at different levels of consensus and adoption</w:t>
      </w:r>
      <w:r>
        <w:t>; and are all inform information retrieval of research literature in clinical medicine</w:t>
      </w:r>
      <w:r w:rsidRPr="002B2E36">
        <w:t>.</w:t>
      </w:r>
      <w:r>
        <w:t xml:space="preserve"> The three KOSs are a classification of clinical research study designs, an evidence pyramid providing a hierarchy of those and other designs, and the evidence type representations in the </w:t>
      </w:r>
      <w:r w:rsidRPr="00BC5B54">
        <w:t>Drug-drug Interaction and Drug-drug Interaction Evidence Ontology (DIDEO)</w:t>
      </w:r>
      <w:r>
        <w:t xml:space="preserve">. </w:t>
      </w:r>
      <w:r w:rsidRPr="002B2E36">
        <w:t xml:space="preserve">These classifications serve </w:t>
      </w:r>
      <w:r>
        <w:t>different</w:t>
      </w:r>
      <w:r w:rsidRPr="002B2E36">
        <w:t xml:space="preserve"> purposes</w:t>
      </w:r>
      <w:r>
        <w:t xml:space="preserve">: </w:t>
      </w:r>
      <w:r w:rsidRPr="002B2E36">
        <w:t>canonicalizing the types of clinical research expected</w:t>
      </w:r>
      <w:r>
        <w:t xml:space="preserve">, </w:t>
      </w:r>
      <w:r w:rsidRPr="002B2E36">
        <w:t>comparing the evidentiary value of different types of clinical research studies</w:t>
      </w:r>
      <w:r>
        <w:t>, and establishing the relevant designs for a particular application.</w:t>
      </w:r>
    </w:p>
    <w:p w14:paraId="0752F85F" w14:textId="77777777" w:rsidR="0023797B" w:rsidRPr="002B2E36" w:rsidRDefault="0023797B" w:rsidP="0023797B"/>
    <w:p w14:paraId="150F085D" w14:textId="77777777" w:rsidR="0023797B" w:rsidRPr="002B2E36" w:rsidRDefault="0023797B" w:rsidP="0023797B">
      <w:r>
        <w:t xml:space="preserve">Our first KOS, a classification of clinical research study designs, is ubiquitous. </w:t>
      </w:r>
      <w:r w:rsidRPr="002B2E36">
        <w:t>In describing the design of clinical research, epidemiology textbooks classify studies as either observational or experimental</w:t>
      </w:r>
      <w:r>
        <w:t xml:space="preserve"> and as either </w:t>
      </w:r>
      <w:r w:rsidRPr="002B2E36">
        <w:t xml:space="preserve">prospective or retrospective. </w:t>
      </w:r>
      <w:r>
        <w:t>Specific study designs are widely agreed upon:</w:t>
      </w:r>
      <w:r w:rsidRPr="002B2E36">
        <w:t xml:space="preserve"> case reports and case series, case-control studies, cohort studies, and randomized controlled trials. They frequently appear in research paper titles and are the subject of reporting guidelines such as STROBE </w:t>
      </w:r>
      <w:r>
        <w:fldChar w:fldCharType="begin"/>
      </w:r>
      <w:r>
        <w:instrText xml:space="preserve"> ADDIN ZOTERO_ITEM CSL_CITATION {"citationID":"ZXGPhr6o","properties":{"formattedCitation":"(Vandenbroucke et al. 2007)","plainCitation":"(Vandenbroucke et al. 2007)","noteIndex":0},"citationItems":[{"id":21780,"uris":["http://zotero.org/groups/2276220/items/CN7XMABA"],"uri":["http://zotero.org/groups/2276220/items/CN7XMABA"],"itemData":{"id":21780,"type":"article-journal","container-title":"Annals of internal medicine","issue":"8","page":"W–163","source":"Google Scholar","title":"Strengthening the reporting of observational studies in epidemiology (strobe): explanation and elaboration","title-short":"Strengthening the reporting of observational studies in epidemiology (strobe)","volume":"147","author":[{"family":"Vandenbroucke","given":"Jan P."},{"family":"Von Elm","given":"Erik"},{"family":"Altman","given":"Douglas G."},{"family":"Gøtzsche","given":"Peter C."},{"family":"Mulrow","given":"Cynthia D."},{"family":"Pocock","given":"Stuart J."},{"family":"Poole","given":"Charles"},{"family":"Schlesselman","given":"James J."},{"family":"Egger","given":"Matthias"}],"issued":{"date-parts":[["2007"]]}}}],"schema":"https://github.com/citation-style-language/schema/raw/master/csl-citation.json"} </w:instrText>
      </w:r>
      <w:r>
        <w:fldChar w:fldCharType="separate"/>
      </w:r>
      <w:r>
        <w:rPr>
          <w:noProof/>
        </w:rPr>
        <w:t>(Vandenbroucke et al. 2007)</w:t>
      </w:r>
      <w:r>
        <w:fldChar w:fldCharType="end"/>
      </w:r>
      <w:r>
        <w:t xml:space="preserve"> </w:t>
      </w:r>
      <w:r w:rsidRPr="002B2E36">
        <w:t xml:space="preserve">and CONSORT </w:t>
      </w:r>
      <w:r>
        <w:fldChar w:fldCharType="begin"/>
      </w:r>
      <w:r>
        <w:instrText xml:space="preserve"> ADDIN ZOTERO_ITEM CSL_CITATION {"citationID":"ygBp4L8k","properties":{"formattedCitation":"(Begg et al. 1996)","plainCitation":"(Begg et al. 1996)","noteIndex":0},"citationItems":[{"id":21782,"uris":["http://zotero.org/groups/2276220/items/5AG47DBM"],"uri":["http://zotero.org/groups/2276220/items/5AG47DBM"],"itemData":{"id":21782,"type":"article-journal","container-title":"JAMA","DOI":"10.1001/jama.276.8.637","ISSN":"0098-7484","issue":"8","journalAbbreviation":"JAMA","language":"eng","note":"PMID: 8773637","page":"637-639","source":"PubMed","title":"Improving the quality of reporting of randomized controlled trials. The CONSORT statement","volume":"276","author":[{"family":"Begg","given":"C."},{"family":"Cho","given":"M."},{"family":"Eastwood","given":"S."},{"family":"Horton","given":"R."},{"family":"Moher","given":"D."},{"family":"Olkin","given":"I."},{"family":"Pitkin","given":"R."},{"family":"Rennie","given":"D."},{"family":"Schulz","given":"K. F."},{"family":"Simel","given":"D."},{"family":"Stroup","given":"D. F."}],"issued":{"date-parts":[["1996",8,28]]}}}],"schema":"https://github.com/citation-style-language/schema/raw/master/csl-citation.json"} </w:instrText>
      </w:r>
      <w:r>
        <w:fldChar w:fldCharType="separate"/>
      </w:r>
      <w:r>
        <w:rPr>
          <w:noProof/>
        </w:rPr>
        <w:t>(Begg et al. 1996)</w:t>
      </w:r>
      <w:r>
        <w:fldChar w:fldCharType="end"/>
      </w:r>
      <w:r>
        <w:t xml:space="preserve">. Each design has a </w:t>
      </w:r>
      <w:r w:rsidRPr="002B2E36">
        <w:t>Medical Subject Heading (</w:t>
      </w:r>
      <w:proofErr w:type="spellStart"/>
      <w:r w:rsidRPr="002B2E36">
        <w:t>MeSH</w:t>
      </w:r>
      <w:proofErr w:type="spellEnd"/>
      <w:r w:rsidRPr="002B2E36">
        <w:t>)</w:t>
      </w:r>
      <w:r>
        <w:t xml:space="preserve"> which can be used for retrieval.</w:t>
      </w:r>
    </w:p>
    <w:p w14:paraId="7CC0A5EF" w14:textId="77777777" w:rsidR="0023797B" w:rsidRPr="002B2E36" w:rsidRDefault="0023797B" w:rsidP="0023797B"/>
    <w:p w14:paraId="05AAACFA" w14:textId="77777777" w:rsidR="0023797B" w:rsidRPr="002B2E36" w:rsidRDefault="0023797B" w:rsidP="0023797B">
      <w:r>
        <w:t>Our second KOS, a</w:t>
      </w:r>
      <w:r w:rsidRPr="002B2E36">
        <w:t>n evidence pyramid</w:t>
      </w:r>
      <w:r>
        <w:t xml:space="preserve">, </w:t>
      </w:r>
      <w:r w:rsidRPr="002B2E36">
        <w:t xml:space="preserve">classifies these </w:t>
      </w:r>
      <w:r>
        <w:t xml:space="preserve">and other </w:t>
      </w:r>
      <w:r w:rsidRPr="002B2E36">
        <w:t>study designs</w:t>
      </w:r>
      <w:r>
        <w:t xml:space="preserve"> into </w:t>
      </w:r>
      <w:r w:rsidRPr="002B2E36">
        <w:t xml:space="preserve">hierarchical “levels of evidence” with the “best” study designs at the top of the pyramid. </w:t>
      </w:r>
      <w:r>
        <w:t>There is not just a single consensus pyramid; for instance,</w:t>
      </w:r>
      <w:r w:rsidRPr="002B2E36">
        <w:t xml:space="preserve"> </w:t>
      </w:r>
      <w:r>
        <w:t>i</w:t>
      </w:r>
      <w:r w:rsidRPr="002B2E36">
        <w:t xml:space="preserve">n previous work, Schneider &amp; Jackson </w:t>
      </w:r>
      <w:r>
        <w:fldChar w:fldCharType="begin"/>
      </w:r>
      <w:r>
        <w:instrText xml:space="preserve"> ADDIN ZOTERO_ITEM CSL_CITATION {"citationID":"L7z9SCnI","properties":{"formattedCitation":"(2018)","plainCitation":"(2018)","noteIndex":0},"citationItems":[{"id":21770,"uris":["http://zotero.org/groups/2276220/items/N6D5FQX3"],"uri":["http://zotero.org/groups/2276220/items/N6D5FQX3"],"itemData":{"id":21770,"type":"article-journal","abstract":"A background assumption of this paper is that the repertoire of inference schemes available to humanity is not fixed, but subject to change as new schemes are invented or refined and as old ones are obsolesced or abandoned. This is particularly visib","container-title":"Argument &amp; Computation","DOI":"10.3233/AAC-180036","ISSN":"1946-2166","issue":"2","language":"en","page":"77-89","source":"content.iospress.com","title":"Modeling the invention of a new inference rule: The case of ‘Randomized Clinical Trial’ as an argument scheme for&amp;nbsp;medical&amp;nbsp;science","title-short":"Modeling the invention of a new inference rule","volume":"9","author":[{"family":"Schneider","given":"Jodi"},{"family":"Jackson","given":"Sally"}],"issued":{"date-parts":[["2018",1,1]]}},"suppress-author":true}],"schema":"https://github.com/citation-style-language/schema/raw/master/csl-citation.json"} </w:instrText>
      </w:r>
      <w:r>
        <w:fldChar w:fldCharType="separate"/>
      </w:r>
      <w:r>
        <w:rPr>
          <w:noProof/>
        </w:rPr>
        <w:t>(2018)</w:t>
      </w:r>
      <w:r>
        <w:fldChar w:fldCharType="end"/>
      </w:r>
      <w:r w:rsidRPr="002B2E36">
        <w:t xml:space="preserve"> have </w:t>
      </w:r>
      <w:r>
        <w:t>commented that secondary literature is seen sometimes, but not always,</w:t>
      </w:r>
      <w:r w:rsidRPr="002B2E36">
        <w:t xml:space="preserve"> atop the pyramid. </w:t>
      </w:r>
      <w:r>
        <w:t xml:space="preserve">This secondary literature such as </w:t>
      </w:r>
      <w:r w:rsidRPr="002B2E36">
        <w:t>systematic reviews and</w:t>
      </w:r>
      <w:r>
        <w:t xml:space="preserve"> </w:t>
      </w:r>
      <w:r w:rsidRPr="002B2E36">
        <w:t>clinical practice guidelines</w:t>
      </w:r>
      <w:r>
        <w:t xml:space="preserve"> synthesizes the clinical research to identify gaps and inform clinical decision-making. The evidence pyramid functions as a KOS when used for quality appraisal and in guiding secondary studies, which retrieval focuses on the pyramid’s top (e.g., systematic reviews, randomized controlled trials) and to a lesser extent on its middle tier (cohort studies, and case-control studies). We draw evidence from medical librarians’ information retrieval priorities </w:t>
      </w:r>
      <w:r>
        <w:fldChar w:fldCharType="begin"/>
      </w:r>
      <w:r>
        <w:instrText xml:space="preserve"> ADDIN ZOTERO_ITEM CSL_CITATION {"citationID":"rWeXui11","properties":{"formattedCitation":"(e.g., the 38 randomized controlled trial filters compared by McKibbon et al. 2009)","plainCitation":"(e.g., the 38 randomized controlled trial filters compared by McKibbon et al. 2009)","noteIndex":0},"citationItems":[{"id":15959,"uris":["http://zotero.org/groups/2276220/items/GTLFEIQW"],"uri":["http://zotero.org/groups/2276220/items/GTLFEIQW"],"itemData":{"id":15959,"type":"article-journal","abstract":"Background: People search MEDLINE for trials of healthcare interventions for clinical decisions, or to produce systematic reviews, practice guidelines, or technology assessments. Finding all relevant randomized controlled trials (RCTs) with little extraneous material is challenging.\nObjective: To provide comparative data on the operating characteristics of search ﬁlters designed to retrieve RCTs from MEDLINE.\nMethods: We identiﬁed 38 ﬁlters. The testing database comprises handsearching data from 161 clinical journals indexed in MEDLINE. Sensitivity, speciﬁcity and precision were calculated.\nResults: The number of terms and operating characteristics varied considerably. Comparing the retrieval against the single term ‘randomized controlled trials.pt.’ (sensitivity for retrieving RCTs, 93.7%), 24 of 38 ﬁlters had statistically higher sensitivity; 6 had a sensitivity of at least 99.0%. Four other ﬁlters had speciﬁcities (non retrieval of non-RCTs) that were statistically not different or better than the single term (97.6%). Precision was poor: only two ﬁlters had precision (proportion of retrieved articles that were RCTs) statistically similar to that of the single term (56.4%)—all others were lower. Filters with more search terms often had lower speciﬁcity, especially at high sensitivities.\nConclusion: Many RCT ﬁlters exist (n ¼ 38). These comparative data can direct the choice of an RCT ﬁlter.","container-title":"Health Information &amp; Libraries Journal","DOI":"10.1111/j.1471-1842.2008.00827.x","ISSN":"14711834, 14711842","issue":"3","language":"en","page":"187-202","source":"DOI.org (Crossref)","title":"Retrieving randomized controlled trials from MEDLINE: a comparison of 38 published search filters","title-short":"Retrieving randomized controlled trials from medline","volume":"26","author":[{"family":"McKibbon","given":"Kathleen Ann"},{"family":"Wilczynski","given":"Nancy Lou"},{"family":"Haynes","given":"Robert Brian"},{"literal":"the Hedges Team"}],"issued":{"date-parts":[["2009",9]]}},"prefix":"e.g., the 38  randomized controlled trial filters compared by "}],"schema":"https://github.com/citation-style-language/schema/raw/master/csl-citation.json"} </w:instrText>
      </w:r>
      <w:r>
        <w:fldChar w:fldCharType="separate"/>
      </w:r>
      <w:r>
        <w:rPr>
          <w:noProof/>
        </w:rPr>
        <w:t>(e.g., the 38 randomized controlled trial filters compared by McKibbon et al. 2009)</w:t>
      </w:r>
      <w:r>
        <w:fldChar w:fldCharType="end"/>
      </w:r>
      <w:r>
        <w:t xml:space="preserve">. We also describe how retrieval </w:t>
      </w:r>
      <w:r w:rsidRPr="002B2E36">
        <w:t>focusing on the top of the evidence pyramid</w:t>
      </w:r>
      <w:r>
        <w:t xml:space="preserve"> </w:t>
      </w:r>
      <w:r w:rsidRPr="002B2E36">
        <w:t xml:space="preserve">is being tested as a way to achieve </w:t>
      </w:r>
      <w:r w:rsidRPr="002B2E36">
        <w:lastRenderedPageBreak/>
        <w:t>high-precision high-recall information retrieval for systematic reviews</w:t>
      </w:r>
      <w:r>
        <w:t xml:space="preserve"> in our </w:t>
      </w:r>
      <w:r w:rsidRPr="002B2E36">
        <w:t xml:space="preserve">ongoing research </w:t>
      </w:r>
      <w:r>
        <w:t xml:space="preserve">in </w:t>
      </w:r>
      <w:r w:rsidRPr="002B2E36">
        <w:t>a collaborative, National Library of Medicine-funded project on facilitating systematic reviews</w:t>
      </w:r>
      <w:r>
        <w:t>.</w:t>
      </w:r>
      <w:r w:rsidRPr="002B2E36">
        <w:t xml:space="preserve"> </w:t>
      </w:r>
    </w:p>
    <w:p w14:paraId="7FBA9CB4" w14:textId="77777777" w:rsidR="0023797B" w:rsidRPr="002B2E36" w:rsidRDefault="0023797B" w:rsidP="0023797B"/>
    <w:p w14:paraId="351A93D6" w14:textId="77777777" w:rsidR="0023797B" w:rsidRPr="002B2E36" w:rsidRDefault="0023797B" w:rsidP="0023797B">
      <w:r>
        <w:t>Our</w:t>
      </w:r>
      <w:r w:rsidRPr="002B2E36">
        <w:t xml:space="preserve"> third KOS</w:t>
      </w:r>
      <w:r>
        <w:t xml:space="preserve"> classifies the study designs relevant to establishing drug-drug interactions in an knowledge/evidence base called the</w:t>
      </w:r>
      <w:r w:rsidRPr="002B2E36">
        <w:t xml:space="preserve"> Drug Interaction Knowledge Base </w:t>
      </w:r>
      <w:r>
        <w:t xml:space="preserve">(DIKB) </w:t>
      </w:r>
      <w:r>
        <w:fldChar w:fldCharType="begin"/>
      </w:r>
      <w:r>
        <w:instrText xml:space="preserve"> ADDIN ZOTERO_ITEM CSL_CITATION {"citationID":"Ve6NqWQZ","properties":{"formattedCitation":"(Boyce et al. 2009)","plainCitation":"(Boyce et al. 2009)","noteIndex":0},"citationItems":[{"id":15152,"uris":["http://zotero.org/groups/2276220/items/HS2REJ6M"],"uri":["http://zotero.org/groups/2276220/items/HS2REJ6M"],"itemData":{"id":15152,"type":"article-journal","abstract":"We present a new evidence taxonomy that, when combined with a set of inclusion criteria, enable drug experts to specify what their conﬁdence in a drug mechanism assertion would be if it were supported by a speciﬁc set of evidence. We discuss our experience applying the taxonomy to representing drug-mechanism evidence for 16 active pharmaceutical ingredients including six members of the HMG-CoA-reductase inhibitor family (statins). All evidence was collected and entered into the Drug-Interaction Knowledge Base (DIKB); a system that can provide customized views of a body of drug-mechanism knowledge to users who do not agree about the inferential value of particular evidence types. We provide speciﬁc examples of how the DIKB’s evidence model can ﬂag when a particular use of evidence should be re-evaluated because its related conjectures are no longer valid. We also present the algorithm that the DIKB uses to identify patterns of evidence support that are indicative of fallacious reasoning by the evidence-base curators.","container-title":"Journal of Biomedical Informatics","DOI":"10.1016/j.jbi.2009.05.001","ISSN":"15320464","issue":"6","language":"en","page":"979-989","source":"DOI.org (Crossref)","title":"Computing with evidence","volume":"42","author":[{"family":"Boyce","given":"Richard"},{"family":"Collins","given":"Carol"},{"family":"Horn","given":"John"},{"family":"Kalet","given":"Ira"}],"issued":{"date-parts":[["2009",12]]}}}],"schema":"https://github.com/citation-style-language/schema/raw/master/csl-citation.json"} </w:instrText>
      </w:r>
      <w:r>
        <w:fldChar w:fldCharType="separate"/>
      </w:r>
      <w:r>
        <w:rPr>
          <w:noProof/>
        </w:rPr>
        <w:t>(Boyce et al. 2009)</w:t>
      </w:r>
      <w:r>
        <w:fldChar w:fldCharType="end"/>
      </w:r>
      <w:r>
        <w:t xml:space="preserve">. Inclusion criteria for the DIKB first took the form of an evidence </w:t>
      </w:r>
      <w:r w:rsidRPr="002B2E36">
        <w:t xml:space="preserve">taxonomy </w:t>
      </w:r>
      <w:r>
        <w:fldChar w:fldCharType="begin"/>
      </w:r>
      <w:r>
        <w:instrText xml:space="preserve"> ADDIN ZOTERO_ITEM CSL_CITATION {"citationID":"8WQReKBM","properties":{"formattedCitation":"(Boyce 2015)","plainCitation":"(Boyce 2015)","noteIndex":0},"citationItems":[{"id":21768,"uris":["http://zotero.org/groups/2276220/items/SB2UIU7J"],"uri":["http://zotero.org/groups/2276220/items/SB2UIU7J"],"itemData":{"id":21768,"type":"webpage","title":"A Draft Evidence Taxonomy and Inclusion Criteria for the Drug Interaction Knowledge Base (DIKB)","URL":"https://web.archive.org/web/20150426205701/http://dbmi-icode-01.dbmi.pitt.edu/dikb-evidence/just-inclusion-criteria/just-inclusion-criteria.html","author":[{"family":"Boyce","given":"Richard"}],"accessed":{"date-parts":[["2020",2,8]]},"issued":{"date-parts":[["2015",4,26]]}}}],"schema":"https://github.com/citation-style-language/schema/raw/master/csl-citation.json"} </w:instrText>
      </w:r>
      <w:r>
        <w:fldChar w:fldCharType="separate"/>
      </w:r>
      <w:r>
        <w:rPr>
          <w:noProof/>
        </w:rPr>
        <w:t>(Boyce 2015)</w:t>
      </w:r>
      <w:r>
        <w:fldChar w:fldCharType="end"/>
      </w:r>
      <w:r>
        <w:t xml:space="preserve"> of relevant study designs.</w:t>
      </w:r>
      <w:r w:rsidRPr="002B2E36">
        <w:t xml:space="preserve"> </w:t>
      </w:r>
      <w:r>
        <w:t xml:space="preserve">This was </w:t>
      </w:r>
      <w:r w:rsidRPr="002B2E36">
        <w:t xml:space="preserve">subsequently formalized </w:t>
      </w:r>
      <w:r>
        <w:t>as the evidence type representation within an</w:t>
      </w:r>
      <w:r w:rsidRPr="002B2E36">
        <w:t xml:space="preserve"> ontology</w:t>
      </w:r>
      <w:r>
        <w:t>, DIDEO</w:t>
      </w:r>
      <w:r w:rsidRPr="002B2E36">
        <w:t xml:space="preserve"> </w:t>
      </w:r>
      <w:r>
        <w:fldChar w:fldCharType="begin"/>
      </w:r>
      <w:r>
        <w:instrText xml:space="preserve"> ADDIN ZOTERO_ITEM CSL_CITATION {"citationID":"un5Ik9xA","properties":{"formattedCitation":"(Brochhausen et al. 2016)","plainCitation":"(Brochhausen et al. 2016)","noteIndex":0},"citationItems":[{"id":21774,"uris":["http://zotero.org/groups/2276220/items/GEHKAMHU"],"uri":["http://zotero.org/groups/2276220/items/GEHKAMHU"],"itemData":{"id":21774,"type":"paper-conference","abstract":"In this poster we present novel development and extension of the Drug-drug Interaction and Drug-drug Interaction Evidence Ontology (DIDEO). We demonstrate how reasoning over this extension of DIDEO can a) automatically create a multi-level hierarchy of evidence types from descriptions of the underlying scientific observations and b) automatically subsume individual evidence items under the correct evidence type. Thus DIDEO will enable evidence items added manually by curators to be automatically categorized into a drug-drug interaction framework with precision and minimal effort from curators. As with all previous DIDEO development this extension is consistent with OBO Foundry principles.","container-title":"Proceedings of the Joint International Conference on Biological Ontology and BioCreative Corvallis, Oregon, United States, August 1-4, 2016","event":"International Conference on Biological Ontology","language":"en","page":"2","source":"Zotero","title":"Adding evidence type representation to DIDEO","URL":"http://ceur-ws.org/Vol-1747/IP02_ICBO2016.pdf","author":[{"family":"Brochhausen","given":"Mathias"},{"family":"Hogan","given":"William R"},{"family":"Empey","given":"Philip E"},{"family":"Schneider","given":"Jodi"},{"family":"Boyce","given":"Richard D"}],"issued":{"date-parts":[["2016"]]}}}],"schema":"https://github.com/citation-style-language/schema/raw/master/csl-citation.json"} </w:instrText>
      </w:r>
      <w:r>
        <w:fldChar w:fldCharType="separate"/>
      </w:r>
      <w:r>
        <w:rPr>
          <w:noProof/>
        </w:rPr>
        <w:t>(Brochhausen et al. 2016)</w:t>
      </w:r>
      <w:r>
        <w:fldChar w:fldCharType="end"/>
      </w:r>
      <w:r>
        <w:t>.</w:t>
      </w:r>
      <w:r w:rsidRPr="002B2E36">
        <w:t xml:space="preserve"> </w:t>
      </w:r>
      <w:r>
        <w:t>These study designs, which are substantially more granular than those of the first and second KOS, are currently manually assessed and annotated. To enable large-scale information retrieval, in ongoing work we are testing hierarchical classification</w:t>
      </w:r>
      <w:r w:rsidRPr="002B2E36">
        <w:t xml:space="preserve"> </w:t>
      </w:r>
      <w:r>
        <w:t xml:space="preserve">as a way to automatically identify these study designs </w:t>
      </w:r>
      <w:r>
        <w:fldChar w:fldCharType="begin"/>
      </w:r>
      <w:r>
        <w:instrText xml:space="preserve"> ADDIN ZOTERO_ITEM CSL_CITATION {"citationID":"Tq1DT0a6","properties":{"formattedCitation":"(Hoang et al. 2019)","plainCitation":"(Hoang et al. 2019)","noteIndex":0},"citationItems":[{"id":21776,"uris":["http://zotero.org/groups/2276220/items/MRWTLYEN"],"uri":["http://zotero.org/groups/2276220/items/MRWTLYEN"],"itemData":{"id":21776,"type":"paper-conference","container-title":"Proceedings of the AAAI 2019 Spring Symposium on Combining Machine Learning with Knowledge Engineering (AAAI-MAKE 2019)","event":"AAAI 2019 Spring Symposium on Combining Machine Learning with Knowledge Engineering","language":"en","page":"1-2","publisher":"CEUR-WS","source":"Zotero","title":"A proposal for determining the evidence types of biomedical documents using a drug-drug interaction ontology and machine learning","URL":"http://ceur-ws.org/Vol-2350/xposter3.pdf","volume":"2350","author":[{"family":"Hoang","given":"Linh"},{"family":"Boyce","given":"Richard D"},{"family":"Brochhausen","given":"Mathias"},{"family":"Utecht","given":"Joseph"},{"family":"Schneider","given":"Jodi"}],"issued":{"date-parts":[["2019"]]}}}],"schema":"https://github.com/citation-style-language/schema/raw/master/csl-citation.json"} </w:instrText>
      </w:r>
      <w:r>
        <w:fldChar w:fldCharType="separate"/>
      </w:r>
      <w:r>
        <w:rPr>
          <w:noProof/>
        </w:rPr>
        <w:t>(Hoang et al. 2019)</w:t>
      </w:r>
      <w:r>
        <w:fldChar w:fldCharType="end"/>
      </w:r>
      <w:r>
        <w:t xml:space="preserve">. </w:t>
      </w:r>
    </w:p>
    <w:p w14:paraId="0ADD6075" w14:textId="2FFC1F1E" w:rsidR="0023797B" w:rsidRDefault="0023797B" w:rsidP="007624C5">
      <w:r w:rsidRPr="002B2E36">
        <w:t xml:space="preserve"> </w:t>
      </w:r>
    </w:p>
    <w:p w14:paraId="662FAF56" w14:textId="2E4B7A45" w:rsidR="00231F2B" w:rsidRDefault="00231F2B" w:rsidP="00231F2B"/>
    <w:p w14:paraId="51DD21BD" w14:textId="7D9079D1" w:rsidR="00231F2B" w:rsidRDefault="00231F2B" w:rsidP="00231F2B">
      <w:pPr>
        <w:pStyle w:val="ListParagraph"/>
        <w:numPr>
          <w:ilvl w:val="0"/>
          <w:numId w:val="4"/>
        </w:numPr>
      </w:pPr>
      <w:r>
        <w:t>BACKGROUND</w:t>
      </w:r>
      <w:r>
        <w:t xml:space="preserve"> ON KO</w:t>
      </w:r>
    </w:p>
    <w:p w14:paraId="272FFBEC" w14:textId="6FA6DB30" w:rsidR="00231F2B" w:rsidRDefault="0023797B" w:rsidP="00231F2B">
      <w:pPr>
        <w:pStyle w:val="ListParagraph"/>
        <w:numPr>
          <w:ilvl w:val="2"/>
          <w:numId w:val="4"/>
        </w:numPr>
        <w:ind w:left="720"/>
      </w:pPr>
      <w:r>
        <w:t xml:space="preserve">Multiple systems for biomedicine support knowledge organization and information </w:t>
      </w:r>
      <w:proofErr w:type="spellStart"/>
      <w:r>
        <w:t>retrieval.</w:t>
      </w:r>
      <w:r>
        <w:t xml:space="preserve"> </w:t>
      </w:r>
      <w:proofErr w:type="spellEnd"/>
      <w:r w:rsidR="00231F2B">
        <w:t xml:space="preserve">Beyond the biomedical literature (on which we will focus), Knowledge Organizing (KO) systems have also addressed records of patient diagnosis and treatment </w:t>
      </w:r>
      <w:r w:rsidR="00231F2B">
        <w:fldChar w:fldCharType="begin"/>
      </w:r>
      <w:r w:rsidR="00231F2B">
        <w:instrText xml:space="preserve"> ADDIN ZOTERO_ITEM CSL_CITATION {"citationID":"qbeFTDtk","properties":{"formattedCitation":"(Stanfill et al. 2010)","plainCitation":"(Stanfill et al. 2010)","noteIndex":0},"citationItems":[{"id":22140,"uris":["http://zotero.org/groups/2276220/items/YQPX3DRB"],"uri":["http://zotero.org/groups/2276220/items/YQPX3DRB"],"itemData":{"id":22140,"type":"article-journal","abstract":"Abstract.  Clinical coding and classification processes transform natural language descriptions in clinical text into data that can subsequently be used for cli","container-title":"Journal of the American Medical Informatics Association","DOI":"10.1136/jamia.2009.001024","ISSN":"1067-5027","issue":"6","journalAbbreviation":"J Am Med Inform Assoc","language":"en","page":"646-651","source":"academic.oup.com","title":"A systematic literature review of automated clinical coding and classification systems","volume":"17","author":[{"family":"Stanfill","given":"Mary H."},{"family":"Williams","given":"Margaret"},{"family":"Fenton","given":"Susan H."},{"family":"Jenders","given":"Robert A."},{"family":"Hersh","given":"William R."}],"issued":{"date-parts":[["2010",11,1]]}}}],"schema":"https://github.com/citation-style-language/schema/raw/master/csl-citation.json"} </w:instrText>
      </w:r>
      <w:r w:rsidR="00231F2B">
        <w:fldChar w:fldCharType="separate"/>
      </w:r>
      <w:r w:rsidR="00231F2B">
        <w:rPr>
          <w:noProof/>
        </w:rPr>
        <w:t>(Stanfill et al. 2010)</w:t>
      </w:r>
      <w:r w:rsidR="00231F2B">
        <w:fldChar w:fldCharType="end"/>
      </w:r>
      <w:r w:rsidR="00231F2B">
        <w:t xml:space="preserve"> and continue to be a building block in clinical research informatics </w:t>
      </w:r>
      <w:r w:rsidR="00231F2B">
        <w:fldChar w:fldCharType="begin"/>
      </w:r>
      <w:r w:rsidR="00231F2B">
        <w:instrText xml:space="preserve"> ADDIN ZOTERO_ITEM CSL_CITATION {"citationID":"dSHA59Af","properties":{"formattedCitation":"(Kahn and Weng 2012)","plainCitation":"(Kahn and Weng 2012)","noteIndex":0},"citationItems":[{"id":22183,"uris":["http://zotero.org/groups/2276220/items/QUIQE8RH"],"uri":["http://zotero.org/groups/2276220/items/QUIQE8RH"],"itemData":{"id":22183,"type":"article-journal","abstract":"Abstract.  Clinical research informatics is the rapidly evolving sub-discipline within biomedical informatics that focuses on developing new informatics theorie","container-title":"Journal of the American Medical Informatics Association","DOI":"10.1136/amiajnl-2012-000968","ISSN":"1067-5027","issue":"e1","journalAbbreviation":"J Am Med Inform Assoc","language":"en","note":"publisher: Oxford Academic","page":"e36-e42","source":"academic.oup.com","title":"Clinical research informatics: a conceptual perspective","title-short":"Clinical research informatics","volume":"19","author":[{"family":"Kahn","given":"Michael G."},{"family":"Weng","given":"Chunhua"}],"issued":{"date-parts":[["2012",6,1]]}}}],"schema":"https://github.com/citation-style-language/schema/raw/master/csl-citation.json"} </w:instrText>
      </w:r>
      <w:r w:rsidR="00231F2B">
        <w:fldChar w:fldCharType="separate"/>
      </w:r>
      <w:r w:rsidR="00231F2B">
        <w:rPr>
          <w:noProof/>
        </w:rPr>
        <w:t>(Kahn and Weng 2012)</w:t>
      </w:r>
      <w:r w:rsidR="00231F2B">
        <w:fldChar w:fldCharType="end"/>
      </w:r>
      <w:r w:rsidR="00231F2B">
        <w:t xml:space="preserve">. KO systems are used to organize basic research in biology and chemistry (CITE) for instance chemical structure (CITE), and pre-clinical biomedical literature (CITE) with topics such as genetics (CITE). Fields such as health care administration </w:t>
      </w:r>
      <w:r w:rsidR="00231F2B">
        <w:fldChar w:fldCharType="begin"/>
      </w:r>
      <w:r w:rsidR="00231F2B">
        <w:instrText xml:space="preserve"> ADDIN ZOTERO_ITEM CSL_CITATION {"citationID":"e4aIFkhc","properties":{"formattedCitation":"(Taylor, Gebremichael, and Wagner 2007)","plainCitation":"(Taylor, Gebremichael, and Wagner 2007)","noteIndex":0},"citationItems":[{"id":22121,"uris":["http://zotero.org/groups/2276220/items/XJHHY2HC"],"uri":["http://zotero.org/groups/2276220/items/XJHHY2HC"],"itemData":{"id":22121,"type":"article-journal","abstract":"Objectives: The research provides an overview of the health care management literature and the indexing coverage of core journal literature., Method: Citations from five source journals for the years 2002 through 2004 were studied using the protocols of the Mapping the Literature of Allied Health Project and Mapping the Literature of Nursing Project. The productivity of cited journals was analyzed by applying Bradford's Law of Scattering., Results: Journals were the most frequently cited format, followed by books. Only 3.2% of the cited journal titles from all 5 source journals generated two-thirds of the cited titles. When only the health care management practitioner–oriented source journals were considered, two-thirds of the output of cited journal titles came from 10.8% of the titles. Science Citation Index and PubMed provided the best overall coverage of the titles cited by all 5 source journals, while the cited titles from the 2 practitioner-oriented journals were covered most completely by Social Sciences Citation Index and Business Source Complete., Conclusions: Health care management is a multidisciplinary field. Librarians must consider the needs of their users and assist them by providing the necessary materials and combination of indexes to access this field adequately.","container-title":"Journal of the Medical Library Association","DOI":"10.3163/1588-9439.95.2.E58","ISSN":"1536-5050","issue":"2","journalAbbreviation":"J Med Libr Assoc","note":"PMID: 17443238\nPMCID: PMC1852631","page":"e58-e65","source":"PubMed Central","title":"Mapping the literature of health care management","volume":"95","author":[{"family":"Taylor","given":"Mary K."},{"family":"Gebremichael","given":"Meseret D."},{"family":"Wagner","given":"Catherine E."}],"issued":{"date-parts":[["2007",4]]}}}],"schema":"https://github.com/citation-style-language/schema/raw/master/csl-citation.json"} </w:instrText>
      </w:r>
      <w:r w:rsidR="00231F2B">
        <w:fldChar w:fldCharType="separate"/>
      </w:r>
      <w:r w:rsidR="00231F2B">
        <w:rPr>
          <w:noProof/>
        </w:rPr>
        <w:t>(Taylor, Gebremichael, and Wagner 2007)</w:t>
      </w:r>
      <w:r w:rsidR="00231F2B">
        <w:fldChar w:fldCharType="end"/>
      </w:r>
      <w:r w:rsidR="00231F2B">
        <w:t xml:space="preserve">, implementation science (CITE), and public health (CITE) integrate complementary knowledge, for instance about policymaking and group or organizational behavior, along with biomedical knowledge. Biomedical knowledge is also relevant to citizens, as health consumers (patients, patient advocates, wellness, etc.) </w:t>
      </w:r>
      <w:r w:rsidR="00231F2B">
        <w:fldChar w:fldCharType="begin"/>
      </w:r>
      <w:r w:rsidR="00231F2B">
        <w:instrText xml:space="preserve"> ADDIN ZOTERO_ITEM CSL_CITATION {"citationID":"L8sYgods","properties":{"formattedCitation":"(Miller, Tyler, and Backus 2004)","plainCitation":"(Miller, Tyler, and Backus 2004)","noteIndex":0},"citationItems":[{"id":77015,"uris":["http://zotero.org/groups/2276220/items/8GIEBRWD"],"uri":["http://zotero.org/groups/2276220/items/8GIEBRWD"],"itemData":{"id":77015,"type":"article-journal","abstract":"The National Library of Medicine’s (NLM®) MedlinePlus® is a high-quality gateway to consumer health information from NLM, the National Institutes of Health (NIH), and other authoritative organizations. For decades, NLM has been a leader in indexing, organizing, and distributing health information to health professionals. In creating MedlinePlus, NLM uses years of accumulated expertise and technical knowledge to produce an authoritative, reliable consumer health Web site. This article describes the development of MedlinePlus—its quality control processes, the integration of NLM and NIH information, NLM’s relationship to other institutions, the technical and stafﬁng infrastructures, the use of feedback for quality improvement, and future plans.","container-title":"Library Trends","issue":"2","language":"en","page":"375-388","source":"Zotero","title":"MedlinePlus®: The National Library of Medicine® Brings Quality Information to Health Consumers","volume":"53","author":[{"family":"Miller","given":"Naomi"},{"family":"Tyler","given":"Rebecca J"},{"family":"Backus","given":"Joyce E B"}],"issued":{"date-parts":[["2004"]]}}}],"schema":"https://github.com/citation-style-language/schema/raw/master/csl-citation.json"} </w:instrText>
      </w:r>
      <w:r w:rsidR="00231F2B">
        <w:fldChar w:fldCharType="separate"/>
      </w:r>
      <w:r w:rsidR="00231F2B">
        <w:rPr>
          <w:noProof/>
        </w:rPr>
        <w:t>(Miller, Tyler, and Backus 2004)</w:t>
      </w:r>
      <w:r w:rsidR="00231F2B">
        <w:fldChar w:fldCharType="end"/>
      </w:r>
      <w:r w:rsidR="00231F2B">
        <w:t>.</w:t>
      </w:r>
    </w:p>
    <w:p w14:paraId="5A6E3109" w14:textId="1AD63806" w:rsidR="007B31C0" w:rsidRDefault="007B31C0" w:rsidP="00231F2B">
      <w:pPr>
        <w:pStyle w:val="ListParagraph"/>
        <w:numPr>
          <w:ilvl w:val="2"/>
          <w:numId w:val="4"/>
        </w:numPr>
        <w:ind w:left="720"/>
      </w:pPr>
      <w:r>
        <w:t>KO on the biomedical literature is vast</w:t>
      </w:r>
      <w:r w:rsidR="00231F2B">
        <w:t xml:space="preserve">. </w:t>
      </w:r>
      <w:r w:rsidR="00231F2B">
        <w:br/>
        <w:t>Examples include:</w:t>
      </w:r>
    </w:p>
    <w:p w14:paraId="386274C0" w14:textId="18215AAA" w:rsidR="0048798F" w:rsidRDefault="0048798F" w:rsidP="00231F2B">
      <w:pPr>
        <w:pStyle w:val="ListParagraph"/>
        <w:numPr>
          <w:ilvl w:val="4"/>
          <w:numId w:val="4"/>
        </w:numPr>
        <w:ind w:left="1440"/>
      </w:pPr>
      <w:proofErr w:type="spellStart"/>
      <w:r>
        <w:t>MeSH</w:t>
      </w:r>
      <w:proofErr w:type="spellEnd"/>
    </w:p>
    <w:p w14:paraId="1F6DD920" w14:textId="0CD7787E" w:rsidR="0048798F" w:rsidRDefault="0048798F" w:rsidP="00231F2B">
      <w:pPr>
        <w:pStyle w:val="ListParagraph"/>
        <w:numPr>
          <w:ilvl w:val="5"/>
          <w:numId w:val="4"/>
        </w:numPr>
        <w:ind w:left="1800"/>
      </w:pPr>
      <w:r>
        <w:t>Underlies MEDLINE</w:t>
      </w:r>
    </w:p>
    <w:p w14:paraId="529FEAB2" w14:textId="773B3DC0" w:rsidR="0048798F" w:rsidRDefault="0048798F" w:rsidP="00231F2B">
      <w:pPr>
        <w:pStyle w:val="ListParagraph"/>
        <w:numPr>
          <w:ilvl w:val="5"/>
          <w:numId w:val="4"/>
        </w:numPr>
        <w:ind w:left="1800"/>
      </w:pPr>
      <w:r>
        <w:t>Translated into multiple languages</w:t>
      </w:r>
    </w:p>
    <w:p w14:paraId="36BCDE3F" w14:textId="536DB58D" w:rsidR="007210B3" w:rsidRDefault="007210B3" w:rsidP="00231F2B">
      <w:pPr>
        <w:pStyle w:val="ListParagraph"/>
        <w:numPr>
          <w:ilvl w:val="5"/>
          <w:numId w:val="4"/>
        </w:numPr>
        <w:ind w:left="1800"/>
      </w:pPr>
      <w:r>
        <w:t xml:space="preserve">Use in </w:t>
      </w:r>
      <w:proofErr w:type="gramStart"/>
      <w:r>
        <w:t>literature based</w:t>
      </w:r>
      <w:proofErr w:type="gramEnd"/>
      <w:r>
        <w:t xml:space="preserve"> discovery: </w:t>
      </w:r>
      <w:r w:rsidRPr="007210B3">
        <w:t>Ranking indirect connections in literature-based discovery: The role of medical subject headings</w:t>
      </w:r>
    </w:p>
    <w:p w14:paraId="65856695" w14:textId="77777777" w:rsidR="0048798F" w:rsidRDefault="0048798F" w:rsidP="00231F2B">
      <w:pPr>
        <w:pStyle w:val="ListParagraph"/>
        <w:numPr>
          <w:ilvl w:val="4"/>
          <w:numId w:val="4"/>
        </w:numPr>
        <w:ind w:left="1440"/>
      </w:pPr>
      <w:r>
        <w:t>Narrow domain ontologies</w:t>
      </w:r>
    </w:p>
    <w:p w14:paraId="0576FD8B" w14:textId="568B9207" w:rsidR="0048798F" w:rsidRDefault="0048798F" w:rsidP="00231F2B">
      <w:pPr>
        <w:pStyle w:val="ListParagraph"/>
        <w:numPr>
          <w:ilvl w:val="5"/>
          <w:numId w:val="4"/>
        </w:numPr>
        <w:ind w:left="1800"/>
      </w:pPr>
      <w:r>
        <w:t xml:space="preserve">Enabling Biomedical NLP (e.g. </w:t>
      </w:r>
      <w:proofErr w:type="spellStart"/>
      <w:r>
        <w:t>MetaMap</w:t>
      </w:r>
      <w:proofErr w:type="spellEnd"/>
      <w:r>
        <w:t xml:space="preserve"> + UMLS)</w:t>
      </w:r>
    </w:p>
    <w:p w14:paraId="3061F252" w14:textId="2A5D1F15" w:rsidR="0048798F" w:rsidRDefault="0048798F" w:rsidP="00231F2B">
      <w:pPr>
        <w:pStyle w:val="ListParagraph"/>
        <w:numPr>
          <w:ilvl w:val="5"/>
          <w:numId w:val="4"/>
        </w:numPr>
        <w:ind w:left="1800"/>
      </w:pPr>
      <w:r>
        <w:t xml:space="preserve">Enabling reasoning </w:t>
      </w:r>
    </w:p>
    <w:p w14:paraId="517E41A5" w14:textId="4A3EBD7A" w:rsidR="0002153F" w:rsidRDefault="0002153F" w:rsidP="00231F2B">
      <w:pPr>
        <w:pStyle w:val="ListParagraph"/>
        <w:numPr>
          <w:ilvl w:val="5"/>
          <w:numId w:val="4"/>
        </w:numPr>
        <w:ind w:left="1800"/>
      </w:pPr>
      <w:r>
        <w:t>Supporting reproducibility (NIF work)</w:t>
      </w:r>
    </w:p>
    <w:p w14:paraId="270C8924" w14:textId="60A97061" w:rsidR="007B31C0" w:rsidRDefault="0048798F" w:rsidP="00231F2B">
      <w:pPr>
        <w:pStyle w:val="ListParagraph"/>
        <w:numPr>
          <w:ilvl w:val="4"/>
          <w:numId w:val="4"/>
        </w:numPr>
        <w:ind w:left="1440"/>
      </w:pPr>
      <w:r>
        <w:t>Development of structured abstracts, enhancing the text generally available in indexing and retrieval systems</w:t>
      </w:r>
    </w:p>
    <w:p w14:paraId="7FC418F3" w14:textId="36FC28A4" w:rsidR="00231F2B" w:rsidRDefault="00231F2B" w:rsidP="00231F2B">
      <w:pPr>
        <w:pStyle w:val="ListParagraph"/>
        <w:numPr>
          <w:ilvl w:val="5"/>
          <w:numId w:val="4"/>
        </w:numPr>
        <w:ind w:left="1800"/>
      </w:pPr>
      <w:r>
        <w:t>Historical information</w:t>
      </w:r>
      <w:r w:rsidR="007210B3">
        <w:t xml:space="preserve"> </w:t>
      </w:r>
      <w:r>
        <w:t xml:space="preserve"> - starting from citations/bibliographies to these:</w:t>
      </w:r>
    </w:p>
    <w:p w14:paraId="5F491E64" w14:textId="7CD7D99B" w:rsidR="007210B3" w:rsidRDefault="007210B3" w:rsidP="00231F2B">
      <w:pPr>
        <w:pStyle w:val="ListParagraph"/>
        <w:numPr>
          <w:ilvl w:val="6"/>
          <w:numId w:val="4"/>
        </w:numPr>
        <w:ind w:left="2160"/>
      </w:pPr>
      <w:r w:rsidRPr="007210B3">
        <w:t>R.B. Haynes et al., More informative abstracts revisited, Annals of Internal Medicine 113(1) (1990) 69–76.</w:t>
      </w:r>
    </w:p>
    <w:p w14:paraId="4E55406B" w14:textId="4B72FCF7" w:rsidR="00231F2B" w:rsidRDefault="007210B3" w:rsidP="00231F2B">
      <w:pPr>
        <w:pStyle w:val="ListParagraph"/>
        <w:numPr>
          <w:ilvl w:val="6"/>
          <w:numId w:val="4"/>
        </w:numPr>
        <w:ind w:left="2160"/>
      </w:pPr>
      <w:r w:rsidRPr="007210B3">
        <w:t>P. Froom and J. Froom, Deficiencies in structured medical abstracts, Journal of Clinical Epidemiology 46(7) (1993) 591–594.</w:t>
      </w:r>
    </w:p>
    <w:p w14:paraId="08B89AAC" w14:textId="50E49AEF" w:rsidR="0048798F" w:rsidRDefault="0048798F" w:rsidP="00231F2B">
      <w:pPr>
        <w:pStyle w:val="ListParagraph"/>
        <w:numPr>
          <w:ilvl w:val="2"/>
          <w:numId w:val="4"/>
        </w:numPr>
      </w:pPr>
      <w:r>
        <w:lastRenderedPageBreak/>
        <w:t xml:space="preserve">Topic-based information retrieval in the biomedical literature </w:t>
      </w:r>
      <w:r w:rsidR="00231F2B">
        <w:t>has</w:t>
      </w:r>
      <w:r>
        <w:t xml:space="preserve"> be</w:t>
      </w:r>
      <w:r w:rsidR="00231F2B">
        <w:t>en</w:t>
      </w:r>
      <w:r>
        <w:t xml:space="preserve"> studied from different usage perspectives, especially taking account </w:t>
      </w:r>
      <w:r w:rsidR="00231F2B">
        <w:t xml:space="preserve">of </w:t>
      </w:r>
      <w:r>
        <w:t>the interests of clinicians, patients, and their intermediaries.</w:t>
      </w:r>
    </w:p>
    <w:p w14:paraId="2B77497C" w14:textId="2C8F61B5" w:rsidR="003D10A2" w:rsidRDefault="00231F2B" w:rsidP="00231F2B">
      <w:pPr>
        <w:pStyle w:val="ListParagraph"/>
        <w:numPr>
          <w:ilvl w:val="4"/>
          <w:numId w:val="4"/>
        </w:numPr>
        <w:ind w:left="1440"/>
      </w:pPr>
      <w:r>
        <w:t xml:space="preserve">(paper) </w:t>
      </w:r>
      <w:r w:rsidR="003D10A2" w:rsidRPr="003D10A2">
        <w:t>Comparison of full-text searching to metadata searching for genes in two biomedical literature cohorts</w:t>
      </w:r>
    </w:p>
    <w:p w14:paraId="432AB28E" w14:textId="1D4DDCB6" w:rsidR="003D10A2" w:rsidRDefault="00231F2B" w:rsidP="00231F2B">
      <w:pPr>
        <w:pStyle w:val="ListParagraph"/>
        <w:numPr>
          <w:ilvl w:val="4"/>
          <w:numId w:val="4"/>
        </w:numPr>
        <w:ind w:left="1440"/>
      </w:pPr>
      <w:r>
        <w:t xml:space="preserve">(paper) </w:t>
      </w:r>
      <w:r w:rsidR="003D10A2" w:rsidRPr="003D10A2">
        <w:t>Consumer language, patient language, and thesauri: a review of the literature</w:t>
      </w:r>
    </w:p>
    <w:p w14:paraId="20BC7988" w14:textId="77777777" w:rsidR="00231F2B" w:rsidRDefault="00231F2B" w:rsidP="00231F2B">
      <w:pPr>
        <w:pStyle w:val="ListParagraph"/>
        <w:numPr>
          <w:ilvl w:val="4"/>
          <w:numId w:val="4"/>
        </w:numPr>
        <w:ind w:left="1440"/>
      </w:pPr>
      <w:r>
        <w:t xml:space="preserve">(paper) </w:t>
      </w:r>
      <w:r w:rsidR="00AA505C" w:rsidRPr="00AA505C">
        <w:t xml:space="preserve">Evaluating the impact of </w:t>
      </w:r>
      <w:proofErr w:type="spellStart"/>
      <w:r w:rsidR="00AA505C" w:rsidRPr="00AA505C">
        <w:t>MeSH</w:t>
      </w:r>
      <w:proofErr w:type="spellEnd"/>
      <w:r w:rsidR="00AA505C" w:rsidRPr="00AA505C">
        <w:t xml:space="preserve"> (Medical Subject Headings) terms on different types of search</w:t>
      </w:r>
    </w:p>
    <w:p w14:paraId="5F3A049B" w14:textId="4D506842" w:rsidR="003D10A2" w:rsidRDefault="00231F2B" w:rsidP="00231F2B">
      <w:pPr>
        <w:pStyle w:val="ListParagraph"/>
        <w:numPr>
          <w:ilvl w:val="2"/>
          <w:numId w:val="4"/>
        </w:numPr>
      </w:pPr>
      <w:r>
        <w:t>Various s</w:t>
      </w:r>
      <w:r w:rsidR="003D10A2">
        <w:t>earch strategies, notably citation retrieval</w:t>
      </w:r>
      <w:r>
        <w:t>, have been tested on b</w:t>
      </w:r>
      <w:r>
        <w:t xml:space="preserve">iomedical literature </w:t>
      </w:r>
    </w:p>
    <w:p w14:paraId="1F61DD7A" w14:textId="48635EB8" w:rsidR="003D10A2" w:rsidRDefault="00231F2B" w:rsidP="00231F2B">
      <w:pPr>
        <w:pStyle w:val="ListParagraph"/>
        <w:numPr>
          <w:ilvl w:val="4"/>
          <w:numId w:val="4"/>
        </w:numPr>
        <w:ind w:left="1440"/>
      </w:pPr>
      <w:r>
        <w:t xml:space="preserve">(paper) </w:t>
      </w:r>
      <w:r w:rsidR="003D10A2" w:rsidRPr="003D10A2">
        <w:t>Descriptor and citation retrieval in the Medical Behavioral Sciences literature: Retrieval overlaps and novelty distribution</w:t>
      </w:r>
    </w:p>
    <w:p w14:paraId="1A478940" w14:textId="7BBC015B" w:rsidR="00AA505C" w:rsidRPr="00AA505C" w:rsidRDefault="00231F2B" w:rsidP="00231F2B">
      <w:pPr>
        <w:pStyle w:val="ListParagraph"/>
        <w:numPr>
          <w:ilvl w:val="4"/>
          <w:numId w:val="4"/>
        </w:numPr>
        <w:ind w:left="1440"/>
      </w:pPr>
      <w:r>
        <w:t xml:space="preserve">(paper) </w:t>
      </w:r>
      <w:r w:rsidR="003D10A2">
        <w:t xml:space="preserve">Chris </w:t>
      </w:r>
      <w:r w:rsidR="00AA505C">
        <w:t xml:space="preserve">Belter - </w:t>
      </w:r>
      <w:r w:rsidR="00AA505C" w:rsidRPr="00AA505C">
        <w:t xml:space="preserve">Citation analysis as a literature search method for systematic reviews. </w:t>
      </w:r>
    </w:p>
    <w:p w14:paraId="59587A49" w14:textId="768CF71E" w:rsidR="003D10A2" w:rsidRDefault="00231F2B" w:rsidP="00231F2B">
      <w:pPr>
        <w:pStyle w:val="ListParagraph"/>
        <w:numPr>
          <w:ilvl w:val="4"/>
          <w:numId w:val="4"/>
        </w:numPr>
        <w:ind w:left="1440"/>
      </w:pPr>
      <w:r>
        <w:t xml:space="preserve">(paper) </w:t>
      </w:r>
      <w:r w:rsidR="00AA505C">
        <w:t xml:space="preserve">Chris Belter - </w:t>
      </w:r>
      <w:r w:rsidR="00AA505C" w:rsidRPr="00AA505C">
        <w:t>A relevance ranking method for citation-based search results</w:t>
      </w:r>
    </w:p>
    <w:p w14:paraId="2F5301B2" w14:textId="1B217C8E" w:rsidR="00AA505C" w:rsidRDefault="00AA505C" w:rsidP="00231F2B">
      <w:pPr>
        <w:pStyle w:val="ListParagraph"/>
        <w:numPr>
          <w:ilvl w:val="4"/>
          <w:numId w:val="4"/>
        </w:numPr>
        <w:ind w:left="1440"/>
      </w:pPr>
      <w:r w:rsidRPr="00AA505C">
        <w:t xml:space="preserve">Pao, M.L.: Term and citation retrieval: A field study. Information Processing and Management 29(1) (1993) 95-112 </w:t>
      </w:r>
    </w:p>
    <w:p w14:paraId="6EB417EB" w14:textId="7D1E40D4" w:rsidR="00A848E4" w:rsidRPr="00AA505C" w:rsidRDefault="0023797B" w:rsidP="00231F2B">
      <w:pPr>
        <w:pStyle w:val="ListParagraph"/>
        <w:numPr>
          <w:ilvl w:val="4"/>
          <w:numId w:val="4"/>
        </w:numPr>
        <w:ind w:left="1440"/>
      </w:pPr>
      <w:r>
        <w:t xml:space="preserve">(paper) </w:t>
      </w:r>
      <w:r w:rsidR="00A848E4" w:rsidRPr="00A848E4">
        <w:t>Topic Diffusion Analysis of a Weighted Citation Network in Biomedical Literature</w:t>
      </w:r>
    </w:p>
    <w:p w14:paraId="49AF29B6" w14:textId="623E9500" w:rsidR="00AA505C" w:rsidRDefault="00D25424" w:rsidP="00231F2B">
      <w:pPr>
        <w:pStyle w:val="ListParagraph"/>
        <w:numPr>
          <w:ilvl w:val="2"/>
          <w:numId w:val="4"/>
        </w:numPr>
      </w:pPr>
      <w:r>
        <w:t>Methodology in the more general KO literature</w:t>
      </w:r>
    </w:p>
    <w:p w14:paraId="1C7C5D45" w14:textId="2AB8565D" w:rsidR="00231F2B" w:rsidRDefault="0023797B" w:rsidP="00231F2B">
      <w:pPr>
        <w:pStyle w:val="ListParagraph"/>
        <w:numPr>
          <w:ilvl w:val="4"/>
          <w:numId w:val="4"/>
        </w:numPr>
        <w:ind w:left="1440"/>
      </w:pPr>
      <w:r>
        <w:t xml:space="preserve">(paper) </w:t>
      </w:r>
      <w:r w:rsidR="00D25424" w:rsidRPr="00D25424">
        <w:t>The Blind Men and the Elephant: Towards an Organization of Epistemic Contexts</w:t>
      </w:r>
    </w:p>
    <w:p w14:paraId="2E1523A8" w14:textId="5848618C" w:rsidR="00231F2B" w:rsidRPr="00231F2B" w:rsidRDefault="00231F2B" w:rsidP="00231F2B">
      <w:pPr>
        <w:pStyle w:val="ListParagraph"/>
        <w:numPr>
          <w:ilvl w:val="0"/>
          <w:numId w:val="4"/>
        </w:numPr>
      </w:pPr>
      <w:r>
        <w:t>BACKGROUND ON METHODS</w:t>
      </w:r>
      <w:r w:rsidR="0023797B">
        <w:t xml:space="preserve"> </w:t>
      </w:r>
      <w:proofErr w:type="gramStart"/>
      <w:r w:rsidR="0023797B">
        <w:t>In</w:t>
      </w:r>
      <w:proofErr w:type="gramEnd"/>
      <w:r w:rsidR="0023797B">
        <w:t xml:space="preserve"> Information Science</w:t>
      </w:r>
    </w:p>
    <w:p w14:paraId="307115F9" w14:textId="77777777" w:rsidR="00231F2B" w:rsidRPr="00231F2B" w:rsidRDefault="00231F2B" w:rsidP="00231F2B">
      <w:pPr>
        <w:pStyle w:val="ListParagraph"/>
        <w:numPr>
          <w:ilvl w:val="4"/>
          <w:numId w:val="4"/>
        </w:numPr>
        <w:ind w:left="1440"/>
      </w:pPr>
      <w:r>
        <w:t xml:space="preserve">Citation of methods  </w:t>
      </w:r>
      <w:r>
        <w:t xml:space="preserve">as concepts </w:t>
      </w:r>
      <w:r w:rsidRPr="00231F2B">
        <w:rPr>
          <w:rFonts w:ascii="Times New Roman" w:eastAsia="Times New Roman" w:hAnsi="Times New Roman" w:cs="Times New Roman"/>
        </w:rPr>
        <w:t xml:space="preserve">Small, Henry G. 1978. “Cited Documents as Concept Symbols.” </w:t>
      </w:r>
      <w:r w:rsidRPr="00231F2B">
        <w:rPr>
          <w:rFonts w:ascii="Times New Roman" w:eastAsia="Times New Roman" w:hAnsi="Times New Roman" w:cs="Times New Roman"/>
          <w:i/>
          <w:iCs/>
        </w:rPr>
        <w:t>Social Studies of Science</w:t>
      </w:r>
      <w:r w:rsidRPr="00231F2B">
        <w:rPr>
          <w:rFonts w:ascii="Times New Roman" w:eastAsia="Times New Roman" w:hAnsi="Times New Roman" w:cs="Times New Roman"/>
        </w:rPr>
        <w:t xml:space="preserve"> 8 (3): 327–40. </w:t>
      </w:r>
      <w:hyperlink r:id="rId5" w:history="1">
        <w:r w:rsidRPr="00231F2B">
          <w:rPr>
            <w:rFonts w:ascii="Times New Roman" w:eastAsia="Times New Roman" w:hAnsi="Times New Roman" w:cs="Times New Roman"/>
            <w:color w:val="0000FF"/>
            <w:u w:val="single"/>
          </w:rPr>
          <w:t>https://doi.org/10.1177/030631277800800305</w:t>
        </w:r>
      </w:hyperlink>
      <w:r w:rsidRPr="00231F2B">
        <w:rPr>
          <w:rFonts w:ascii="Times New Roman" w:eastAsia="Times New Roman" w:hAnsi="Times New Roman" w:cs="Times New Roman"/>
        </w:rPr>
        <w:t>.</w:t>
      </w:r>
    </w:p>
    <w:p w14:paraId="4FAB6E27" w14:textId="77777777" w:rsidR="00231F2B" w:rsidRDefault="00231F2B" w:rsidP="00231F2B">
      <w:pPr>
        <w:pStyle w:val="ListParagraph"/>
        <w:numPr>
          <w:ilvl w:val="4"/>
          <w:numId w:val="4"/>
        </w:numPr>
        <w:ind w:left="1440"/>
      </w:pPr>
      <w:r>
        <w:t xml:space="preserve">Small, Henry, Kevin W. </w:t>
      </w:r>
      <w:proofErr w:type="spellStart"/>
      <w:r>
        <w:t>Boyack</w:t>
      </w:r>
      <w:proofErr w:type="spellEnd"/>
      <w:r>
        <w:t xml:space="preserve">, and Richard </w:t>
      </w:r>
      <w:proofErr w:type="spellStart"/>
      <w:r>
        <w:t>Klavans</w:t>
      </w:r>
      <w:proofErr w:type="spellEnd"/>
      <w:r>
        <w:t xml:space="preserve">. 2019. “Citations and Certainty: A New Interpretation of Citation Counts.” </w:t>
      </w:r>
      <w:proofErr w:type="spellStart"/>
      <w:r w:rsidRPr="00231F2B">
        <w:rPr>
          <w:i/>
          <w:iCs/>
        </w:rPr>
        <w:t>Scientometrics</w:t>
      </w:r>
      <w:proofErr w:type="spellEnd"/>
      <w:r>
        <w:t xml:space="preserve"> 118 (3): 1079–92. </w:t>
      </w:r>
      <w:hyperlink r:id="rId6" w:history="1">
        <w:r>
          <w:rPr>
            <w:rStyle w:val="Hyperlink"/>
          </w:rPr>
          <w:t>https://doi.org/10.1007/s11192-019-03016-z</w:t>
        </w:r>
      </w:hyperlink>
      <w:r>
        <w:t>.</w:t>
      </w:r>
    </w:p>
    <w:p w14:paraId="7555C447" w14:textId="77777777" w:rsidR="0023797B" w:rsidRDefault="00231F2B" w:rsidP="0023797B">
      <w:pPr>
        <w:pStyle w:val="ListParagraph"/>
        <w:numPr>
          <w:ilvl w:val="4"/>
          <w:numId w:val="4"/>
        </w:numPr>
        <w:ind w:left="1440"/>
      </w:pPr>
      <w:r>
        <w:t xml:space="preserve">Small, Henry. 2018. “Characterizing Highly Cited Method and Non-Method Papers Using Citation Contexts: The Role of Uncertainty.” </w:t>
      </w:r>
      <w:r w:rsidRPr="00231F2B">
        <w:rPr>
          <w:i/>
          <w:iCs/>
        </w:rPr>
        <w:t xml:space="preserve">Journal of </w:t>
      </w:r>
      <w:proofErr w:type="spellStart"/>
      <w:r w:rsidRPr="00231F2B">
        <w:rPr>
          <w:i/>
          <w:iCs/>
        </w:rPr>
        <w:t>Informetrics</w:t>
      </w:r>
      <w:proofErr w:type="spellEnd"/>
      <w:r>
        <w:t xml:space="preserve"> 12 (2): 461–80. </w:t>
      </w:r>
      <w:hyperlink r:id="rId7" w:history="1">
        <w:r>
          <w:rPr>
            <w:rStyle w:val="Hyperlink"/>
          </w:rPr>
          <w:t>https://doi.org/10.1016/j.joi.2018.03.007</w:t>
        </w:r>
      </w:hyperlink>
      <w:r>
        <w:t>.</w:t>
      </w:r>
    </w:p>
    <w:p w14:paraId="78D92E97" w14:textId="36E54B83" w:rsidR="00231F2B" w:rsidRDefault="00231F2B" w:rsidP="0023797B">
      <w:pPr>
        <w:pStyle w:val="ListParagraph"/>
        <w:numPr>
          <w:ilvl w:val="4"/>
          <w:numId w:val="4"/>
        </w:numPr>
        <w:ind w:left="1440"/>
      </w:pPr>
      <w:r>
        <w:t>“</w:t>
      </w:r>
      <w:r w:rsidRPr="00231F2B">
        <w:t xml:space="preserve">Of the 100 most cited articles in </w:t>
      </w:r>
      <w:proofErr w:type="spellStart"/>
      <w:r w:rsidRPr="00231F2B">
        <w:t>Pubmed</w:t>
      </w:r>
      <w:proofErr w:type="spellEnd"/>
      <w:r w:rsidRPr="00231F2B">
        <w:t xml:space="preserve"> Central only about four are discoveries and the remaining 96 either methods, reviews or data compilations.</w:t>
      </w:r>
      <w:r>
        <w:t>”</w:t>
      </w:r>
      <w:r w:rsidR="0023797B">
        <w:t xml:space="preserve"> </w:t>
      </w:r>
      <w:r w:rsidR="0023797B" w:rsidRPr="0023797B">
        <w:rPr>
          <w:rFonts w:ascii="Times New Roman" w:eastAsia="Times New Roman" w:hAnsi="Times New Roman" w:cs="Times New Roman"/>
        </w:rPr>
        <w:t xml:space="preserve">Small, Henry, Hung Tseng, and Mike Patek. 2017. “Discovering Discoveries: Identifying Biomedical Discoveries Using Citation Contexts.” </w:t>
      </w:r>
      <w:r w:rsidR="0023797B" w:rsidRPr="0023797B">
        <w:rPr>
          <w:rFonts w:ascii="Times New Roman" w:eastAsia="Times New Roman" w:hAnsi="Times New Roman" w:cs="Times New Roman"/>
          <w:i/>
          <w:iCs/>
        </w:rPr>
        <w:t xml:space="preserve">Journal of </w:t>
      </w:r>
      <w:proofErr w:type="spellStart"/>
      <w:r w:rsidR="0023797B" w:rsidRPr="0023797B">
        <w:rPr>
          <w:rFonts w:ascii="Times New Roman" w:eastAsia="Times New Roman" w:hAnsi="Times New Roman" w:cs="Times New Roman"/>
          <w:i/>
          <w:iCs/>
        </w:rPr>
        <w:t>Informetrics</w:t>
      </w:r>
      <w:proofErr w:type="spellEnd"/>
      <w:r w:rsidR="0023797B" w:rsidRPr="0023797B">
        <w:rPr>
          <w:rFonts w:ascii="Times New Roman" w:eastAsia="Times New Roman" w:hAnsi="Times New Roman" w:cs="Times New Roman"/>
        </w:rPr>
        <w:t xml:space="preserve"> 11 (1): 46–62. </w:t>
      </w:r>
      <w:hyperlink r:id="rId8" w:history="1">
        <w:r w:rsidR="0023797B" w:rsidRPr="0023797B">
          <w:rPr>
            <w:rFonts w:ascii="Times New Roman" w:eastAsia="Times New Roman" w:hAnsi="Times New Roman" w:cs="Times New Roman"/>
            <w:color w:val="0000FF"/>
            <w:u w:val="single"/>
          </w:rPr>
          <w:t>https://doi.org/10.1016/j.joi.2016.11.001</w:t>
        </w:r>
      </w:hyperlink>
      <w:r w:rsidR="0023797B" w:rsidRPr="0023797B">
        <w:rPr>
          <w:rFonts w:ascii="Times New Roman" w:eastAsia="Times New Roman" w:hAnsi="Times New Roman" w:cs="Times New Roman"/>
        </w:rPr>
        <w:t>.</w:t>
      </w:r>
    </w:p>
    <w:p w14:paraId="142A8922" w14:textId="0FE6F036" w:rsidR="00231F2B" w:rsidRDefault="00231F2B" w:rsidP="00231F2B">
      <w:pPr>
        <w:pStyle w:val="ListParagraph"/>
        <w:numPr>
          <w:ilvl w:val="0"/>
          <w:numId w:val="4"/>
        </w:numPr>
      </w:pPr>
      <w:r>
        <w:t xml:space="preserve">BACKGROUND ON </w:t>
      </w:r>
      <w:r w:rsidR="0023797B">
        <w:t>KO &amp; METHODS combined</w:t>
      </w:r>
    </w:p>
    <w:p w14:paraId="0797C51A" w14:textId="46C07E62" w:rsidR="00E97AE3" w:rsidRDefault="0023797B" w:rsidP="00231F2B">
      <w:pPr>
        <w:pStyle w:val="ListParagraph"/>
        <w:numPr>
          <w:ilvl w:val="3"/>
          <w:numId w:val="4"/>
        </w:numPr>
        <w:ind w:left="1080"/>
      </w:pPr>
      <w:r>
        <w:t xml:space="preserve">(paper) </w:t>
      </w:r>
      <w:r w:rsidR="00E97AE3">
        <w:t>Comparative effectiveness research designs: an analysis of terms and coverage in Medical Subject Headings (</w:t>
      </w:r>
      <w:proofErr w:type="spellStart"/>
      <w:r w:rsidR="00E97AE3">
        <w:t>MeSH</w:t>
      </w:r>
      <w:proofErr w:type="spellEnd"/>
      <w:r w:rsidR="00E97AE3">
        <w:t>)</w:t>
      </w:r>
      <w:r w:rsidR="007210B3">
        <w:t xml:space="preserve"> </w:t>
      </w:r>
      <w:r w:rsidR="00E97AE3">
        <w:t xml:space="preserve">and </w:t>
      </w:r>
      <w:proofErr w:type="spellStart"/>
      <w:r w:rsidR="00E97AE3">
        <w:t>Emtree</w:t>
      </w:r>
      <w:proofErr w:type="spellEnd"/>
    </w:p>
    <w:p w14:paraId="500EB1F2" w14:textId="77777777" w:rsidR="0023797B" w:rsidRDefault="0023797B" w:rsidP="0023797B">
      <w:pPr>
        <w:pStyle w:val="ListParagraph"/>
        <w:numPr>
          <w:ilvl w:val="3"/>
          <w:numId w:val="4"/>
        </w:numPr>
        <w:ind w:left="1080"/>
      </w:pPr>
      <w:r>
        <w:t xml:space="preserve">(paper) </w:t>
      </w:r>
      <w:r w:rsidR="007210B3" w:rsidRPr="007210B3">
        <w:t>Studying the potential impact of automated document classification on scheduling a systematic review update</w:t>
      </w:r>
    </w:p>
    <w:p w14:paraId="11D3499E" w14:textId="1D5C05E3" w:rsidR="00D4655E" w:rsidRDefault="0023797B" w:rsidP="0023797B">
      <w:pPr>
        <w:pStyle w:val="ListParagraph"/>
        <w:numPr>
          <w:ilvl w:val="3"/>
          <w:numId w:val="4"/>
        </w:numPr>
        <w:ind w:left="1080"/>
      </w:pPr>
      <w:r>
        <w:t>My previous work on</w:t>
      </w:r>
      <w:r w:rsidR="00D4655E">
        <w:t xml:space="preserve"> methodologies have com (CITE </w:t>
      </w:r>
      <w:r>
        <w:t xml:space="preserve">work with Sally Jackson on </w:t>
      </w:r>
      <w:r w:rsidR="00D4655E">
        <w:t xml:space="preserve">RCT, CITE </w:t>
      </w:r>
      <w:r>
        <w:t xml:space="preserve">work with Sally Jackson on </w:t>
      </w:r>
      <w:r w:rsidR="00D4655E">
        <w:t>Cochrane</w:t>
      </w:r>
      <w:r>
        <w:t xml:space="preserve"> Reviews</w:t>
      </w:r>
      <w:bookmarkStart w:id="0" w:name="_GoBack"/>
      <w:bookmarkEnd w:id="0"/>
      <w:r w:rsidR="00D4655E">
        <w:t>)</w:t>
      </w:r>
    </w:p>
    <w:p w14:paraId="3FC57169" w14:textId="149C8EFB" w:rsidR="00D4655E" w:rsidRDefault="00D4655E" w:rsidP="0048798F">
      <w:pPr>
        <w:ind w:left="360"/>
      </w:pPr>
    </w:p>
    <w:p w14:paraId="5525F1BF" w14:textId="77777777" w:rsidR="00D4655E" w:rsidRDefault="00D4655E" w:rsidP="0048798F">
      <w:pPr>
        <w:ind w:left="360"/>
      </w:pPr>
    </w:p>
    <w:p w14:paraId="3DCB1434" w14:textId="77777777" w:rsidR="00231F2B" w:rsidRDefault="00231F2B" w:rsidP="00231F2B"/>
    <w:p w14:paraId="32D2E8A8" w14:textId="77777777" w:rsidR="00231F2B" w:rsidRDefault="00231F2B" w:rsidP="00231F2B"/>
    <w:p w14:paraId="7B888EE4" w14:textId="77777777" w:rsidR="00231F2B" w:rsidRPr="002B2E36" w:rsidRDefault="00231F2B" w:rsidP="00E25154"/>
    <w:p w14:paraId="6B701C81" w14:textId="77777777" w:rsidR="00E25154" w:rsidRPr="002B2E36" w:rsidRDefault="00E25154" w:rsidP="00E25154"/>
    <w:p w14:paraId="47027766" w14:textId="7D5AA2BA" w:rsidR="00E25154" w:rsidRDefault="00E25154" w:rsidP="00E25154">
      <w:pPr>
        <w:ind w:hanging="480"/>
      </w:pPr>
      <w:commentRangeStart w:id="1"/>
      <w:r w:rsidRPr="002B2E36">
        <w:t>REFERENCES</w:t>
      </w:r>
      <w:commentRangeEnd w:id="1"/>
      <w:r w:rsidR="00A13ADE">
        <w:rPr>
          <w:rStyle w:val="CommentReference"/>
        </w:rPr>
        <w:commentReference w:id="1"/>
      </w:r>
    </w:p>
    <w:p w14:paraId="79388094" w14:textId="77777777" w:rsidR="007624C5" w:rsidRPr="007624C5" w:rsidRDefault="007B36FB" w:rsidP="007624C5">
      <w:pPr>
        <w:pStyle w:val="Bibliography"/>
        <w:rPr>
          <w:rFonts w:ascii="Calibri" w:cs="Calibri"/>
        </w:rPr>
      </w:pPr>
      <w:r>
        <w:fldChar w:fldCharType="begin"/>
      </w:r>
      <w:r w:rsidR="007624C5">
        <w:instrText xml:space="preserve"> ADDIN ZOTERO_BIBL {"uncited":[],"omitted":[],"custom":[]} CSL_BIBLIOGRAPHY </w:instrText>
      </w:r>
      <w:r>
        <w:fldChar w:fldCharType="separate"/>
      </w:r>
      <w:r w:rsidR="007624C5" w:rsidRPr="007624C5">
        <w:rPr>
          <w:rFonts w:ascii="Calibri" w:cs="Calibri"/>
        </w:rPr>
        <w:t xml:space="preserve">Begg, C., M. Cho, S. Eastwood, R. Horton, D. Moher, I. Olkin, R. Pitkin, et al. 1996. “Improving the Quality of Reporting of Randomized Controlled Trials. The CONSORT Statement.” </w:t>
      </w:r>
      <w:r w:rsidR="007624C5" w:rsidRPr="007624C5">
        <w:rPr>
          <w:rFonts w:ascii="Calibri" w:cs="Calibri"/>
          <w:i/>
          <w:iCs/>
        </w:rPr>
        <w:t>JAMA</w:t>
      </w:r>
      <w:r w:rsidR="007624C5" w:rsidRPr="007624C5">
        <w:rPr>
          <w:rFonts w:ascii="Calibri" w:cs="Calibri"/>
        </w:rPr>
        <w:t xml:space="preserve"> 276 (8): 637–39. https://doi.org/10.1001/jama.276.8.637.</w:t>
      </w:r>
    </w:p>
    <w:p w14:paraId="07A9B790" w14:textId="77777777" w:rsidR="007624C5" w:rsidRPr="007624C5" w:rsidRDefault="007624C5" w:rsidP="007624C5">
      <w:pPr>
        <w:pStyle w:val="Bibliography"/>
        <w:rPr>
          <w:rFonts w:ascii="Calibri" w:cs="Calibri"/>
        </w:rPr>
      </w:pPr>
      <w:r w:rsidRPr="007624C5">
        <w:rPr>
          <w:rFonts w:ascii="Calibri" w:cs="Calibri"/>
        </w:rPr>
        <w:t>Boyce, Richard. 2015. “A Draft Evidence Taxonomy and Inclusion Criteria for the Drug Interaction Knowledge Base (DIKB).” April 26, 2015. https://web.archive.org/web/20150426205701/http://dbmi-icode-01.dbmi.pitt.edu/dikb-evidence/just-inclusion-criteria/just-inclusion-criteria.html.</w:t>
      </w:r>
    </w:p>
    <w:p w14:paraId="14F3C44A" w14:textId="77777777" w:rsidR="007624C5" w:rsidRPr="007624C5" w:rsidRDefault="007624C5" w:rsidP="007624C5">
      <w:pPr>
        <w:pStyle w:val="Bibliography"/>
        <w:rPr>
          <w:rFonts w:ascii="Calibri" w:cs="Calibri"/>
        </w:rPr>
      </w:pPr>
      <w:r w:rsidRPr="007624C5">
        <w:rPr>
          <w:rFonts w:ascii="Calibri" w:cs="Calibri"/>
        </w:rPr>
        <w:t xml:space="preserve">Boyce, Richard, Carol Collins, John Horn, and Ira Kalet. 2009. “Computing with Evidence.” </w:t>
      </w:r>
      <w:r w:rsidRPr="007624C5">
        <w:rPr>
          <w:rFonts w:ascii="Calibri" w:cs="Calibri"/>
          <w:i/>
          <w:iCs/>
        </w:rPr>
        <w:t>Journal of Biomedical Informatics</w:t>
      </w:r>
      <w:r w:rsidRPr="007624C5">
        <w:rPr>
          <w:rFonts w:ascii="Calibri" w:cs="Calibri"/>
        </w:rPr>
        <w:t xml:space="preserve"> 42 (6): 979–89. https://doi.org/10.1016/j.jbi.2009.05.001.</w:t>
      </w:r>
    </w:p>
    <w:p w14:paraId="66BE0E77" w14:textId="77777777" w:rsidR="007624C5" w:rsidRPr="007624C5" w:rsidRDefault="007624C5" w:rsidP="007624C5">
      <w:pPr>
        <w:pStyle w:val="Bibliography"/>
        <w:rPr>
          <w:rFonts w:ascii="Calibri" w:cs="Calibri"/>
        </w:rPr>
      </w:pPr>
      <w:r w:rsidRPr="007624C5">
        <w:rPr>
          <w:rFonts w:ascii="Calibri" w:cs="Calibri"/>
        </w:rPr>
        <w:t xml:space="preserve">Brochhausen, Mathias, William R Hogan, Philip E Empey, Jodi Schneider, and Richard D Boyce. 2016. “Adding Evidence Type Representation to DIDEO.” In </w:t>
      </w:r>
      <w:r w:rsidRPr="007624C5">
        <w:rPr>
          <w:rFonts w:ascii="Calibri" w:cs="Calibri"/>
          <w:i/>
          <w:iCs/>
        </w:rPr>
        <w:t>Proceedings of the Joint International Conference on Biological Ontology and BioCreative Corvallis, Oregon, United States, August 1-4, 2016</w:t>
      </w:r>
      <w:r w:rsidRPr="007624C5">
        <w:rPr>
          <w:rFonts w:ascii="Calibri" w:cs="Calibri"/>
        </w:rPr>
        <w:t>, 2. http://ceur-ws.org/Vol-1747/IP02_ICBO2016.pdf.</w:t>
      </w:r>
    </w:p>
    <w:p w14:paraId="243DE54A" w14:textId="77777777" w:rsidR="007624C5" w:rsidRPr="007624C5" w:rsidRDefault="007624C5" w:rsidP="007624C5">
      <w:pPr>
        <w:pStyle w:val="Bibliography"/>
        <w:rPr>
          <w:rFonts w:ascii="Calibri" w:cs="Calibri"/>
        </w:rPr>
      </w:pPr>
      <w:r w:rsidRPr="007624C5">
        <w:rPr>
          <w:rFonts w:ascii="Calibri" w:cs="Calibri"/>
        </w:rPr>
        <w:t xml:space="preserve">Hoang, Linh, Richard D Boyce, Mathias Brochhausen, Joseph Utecht, and Jodi Schneider. 2019. “A Proposal for Determining the Evidence Types of Biomedical Documents Using a Drug-Drug Interaction Ontology and Machine Learning.” In </w:t>
      </w:r>
      <w:r w:rsidRPr="007624C5">
        <w:rPr>
          <w:rFonts w:ascii="Calibri" w:cs="Calibri"/>
          <w:i/>
          <w:iCs/>
        </w:rPr>
        <w:t>Proceedings of the AAAI 2019 Spring Symposium on Combining Machine Learning with Knowledge Engineering (AAAI-MAKE 2019)</w:t>
      </w:r>
      <w:r w:rsidRPr="007624C5">
        <w:rPr>
          <w:rFonts w:ascii="Calibri" w:cs="Calibri"/>
        </w:rPr>
        <w:t>, 2350:1–2. CEUR-WS. http://ceur-ws.org/Vol-2350/xposter3.pdf.</w:t>
      </w:r>
    </w:p>
    <w:p w14:paraId="75921D99" w14:textId="77777777" w:rsidR="007624C5" w:rsidRPr="007624C5" w:rsidRDefault="007624C5" w:rsidP="007624C5">
      <w:pPr>
        <w:pStyle w:val="Bibliography"/>
        <w:rPr>
          <w:rFonts w:ascii="Calibri" w:cs="Calibri"/>
        </w:rPr>
      </w:pPr>
      <w:r w:rsidRPr="007624C5">
        <w:rPr>
          <w:rFonts w:ascii="Calibri" w:cs="Calibri"/>
        </w:rPr>
        <w:t xml:space="preserve">Kahn, Michael G., and Chunhua Weng. 2012. “Clinical Research Informatics: A Conceptual Perspective.” </w:t>
      </w:r>
      <w:r w:rsidRPr="007624C5">
        <w:rPr>
          <w:rFonts w:ascii="Calibri" w:cs="Calibri"/>
          <w:i/>
          <w:iCs/>
        </w:rPr>
        <w:t>Journal of the American Medical Informatics Association</w:t>
      </w:r>
      <w:r w:rsidRPr="007624C5">
        <w:rPr>
          <w:rFonts w:ascii="Calibri" w:cs="Calibri"/>
        </w:rPr>
        <w:t xml:space="preserve"> 19 (e1): e36–42. https://doi.org/10.1136/amiajnl-2012-000968.</w:t>
      </w:r>
    </w:p>
    <w:p w14:paraId="01866EFF" w14:textId="77777777" w:rsidR="007624C5" w:rsidRPr="007624C5" w:rsidRDefault="007624C5" w:rsidP="007624C5">
      <w:pPr>
        <w:pStyle w:val="Bibliography"/>
        <w:rPr>
          <w:rFonts w:ascii="Calibri" w:cs="Calibri"/>
        </w:rPr>
      </w:pPr>
      <w:r w:rsidRPr="007624C5">
        <w:rPr>
          <w:rFonts w:ascii="Calibri" w:cs="Calibri"/>
        </w:rPr>
        <w:t xml:space="preserve">McKibbon, Kathleen Ann, Nancy Lou Wilczynski, Robert Brian Haynes, and the Hedges Team. 2009. “Retrieving Randomized Controlled Trials from MEDLINE: A Comparison of 38 Published Search Filters.” </w:t>
      </w:r>
      <w:r w:rsidRPr="007624C5">
        <w:rPr>
          <w:rFonts w:ascii="Calibri" w:cs="Calibri"/>
          <w:i/>
          <w:iCs/>
        </w:rPr>
        <w:t>Health Information &amp; Libraries Journal</w:t>
      </w:r>
      <w:r w:rsidRPr="007624C5">
        <w:rPr>
          <w:rFonts w:ascii="Calibri" w:cs="Calibri"/>
        </w:rPr>
        <w:t xml:space="preserve"> 26 (3): 187–202. https://doi.org/10.1111/j.1471-1842.2008.00827.x.</w:t>
      </w:r>
    </w:p>
    <w:p w14:paraId="1D5CDC38" w14:textId="77777777" w:rsidR="007624C5" w:rsidRPr="007624C5" w:rsidRDefault="007624C5" w:rsidP="007624C5">
      <w:pPr>
        <w:pStyle w:val="Bibliography"/>
        <w:rPr>
          <w:rFonts w:ascii="Calibri" w:cs="Calibri"/>
        </w:rPr>
      </w:pPr>
      <w:r w:rsidRPr="007624C5">
        <w:rPr>
          <w:rFonts w:ascii="Calibri" w:cs="Calibri"/>
        </w:rPr>
        <w:t xml:space="preserve">Miller, Naomi, Rebecca J Tyler, and Joyce E B Backus. 2004. “MedlinePlus®: The National Library of Medicine® Brings Quality Information to Health Consumers.” </w:t>
      </w:r>
      <w:r w:rsidRPr="007624C5">
        <w:rPr>
          <w:rFonts w:ascii="Calibri" w:cs="Calibri"/>
          <w:i/>
          <w:iCs/>
        </w:rPr>
        <w:t>Library Trends</w:t>
      </w:r>
      <w:r w:rsidRPr="007624C5">
        <w:rPr>
          <w:rFonts w:ascii="Calibri" w:cs="Calibri"/>
        </w:rPr>
        <w:t xml:space="preserve"> 53 (2): 375–88.</w:t>
      </w:r>
    </w:p>
    <w:p w14:paraId="0E7910F0" w14:textId="77777777" w:rsidR="007624C5" w:rsidRPr="007624C5" w:rsidRDefault="007624C5" w:rsidP="007624C5">
      <w:pPr>
        <w:pStyle w:val="Bibliography"/>
        <w:rPr>
          <w:rFonts w:ascii="Calibri" w:cs="Calibri"/>
        </w:rPr>
      </w:pPr>
      <w:r w:rsidRPr="007624C5">
        <w:rPr>
          <w:rFonts w:ascii="Calibri" w:cs="Calibri"/>
        </w:rPr>
        <w:t xml:space="preserve">Schneider, Jodi, and Sally Jackson. 2018. “Modeling the Invention of a New Inference Rule: The Case of ‘Randomized Clinical Trial’ as an Argument Scheme For&amp;nbsp;Medical&amp;nbsp;Science.” </w:t>
      </w:r>
      <w:r w:rsidRPr="007624C5">
        <w:rPr>
          <w:rFonts w:ascii="Calibri" w:cs="Calibri"/>
          <w:i/>
          <w:iCs/>
        </w:rPr>
        <w:t>Argument &amp; Computation</w:t>
      </w:r>
      <w:r w:rsidRPr="007624C5">
        <w:rPr>
          <w:rFonts w:ascii="Calibri" w:cs="Calibri"/>
        </w:rPr>
        <w:t xml:space="preserve"> 9 (2): 77–89. https://doi.org/10.3233/AAC-180036.</w:t>
      </w:r>
    </w:p>
    <w:p w14:paraId="558B75D4" w14:textId="77777777" w:rsidR="007624C5" w:rsidRPr="007624C5" w:rsidRDefault="007624C5" w:rsidP="007624C5">
      <w:pPr>
        <w:pStyle w:val="Bibliography"/>
        <w:rPr>
          <w:rFonts w:ascii="Calibri" w:cs="Calibri"/>
        </w:rPr>
      </w:pPr>
      <w:r w:rsidRPr="007624C5">
        <w:rPr>
          <w:rFonts w:ascii="Calibri" w:cs="Calibri"/>
        </w:rPr>
        <w:t xml:space="preserve">Stanfill, Mary H., Margaret Williams, Susan H. Fenton, Robert A. Jenders, and William R. Hersh. 2010. “A Systematic Literature Review of Automated Clinical Coding and Classification Systems.” </w:t>
      </w:r>
      <w:r w:rsidRPr="007624C5">
        <w:rPr>
          <w:rFonts w:ascii="Calibri" w:cs="Calibri"/>
          <w:i/>
          <w:iCs/>
        </w:rPr>
        <w:t>Journal of the American Medical Informatics Association</w:t>
      </w:r>
      <w:r w:rsidRPr="007624C5">
        <w:rPr>
          <w:rFonts w:ascii="Calibri" w:cs="Calibri"/>
        </w:rPr>
        <w:t xml:space="preserve"> 17 (6): 646–51. https://doi.org/10.1136/jamia.2009.001024.</w:t>
      </w:r>
    </w:p>
    <w:p w14:paraId="623435C5" w14:textId="77777777" w:rsidR="007624C5" w:rsidRPr="007624C5" w:rsidRDefault="007624C5" w:rsidP="007624C5">
      <w:pPr>
        <w:pStyle w:val="Bibliography"/>
        <w:rPr>
          <w:rFonts w:ascii="Calibri" w:cs="Calibri"/>
        </w:rPr>
      </w:pPr>
      <w:r w:rsidRPr="007624C5">
        <w:rPr>
          <w:rFonts w:ascii="Calibri" w:cs="Calibri"/>
        </w:rPr>
        <w:t xml:space="preserve">Taylor, Mary K., Meseret D. Gebremichael, and Catherine E. Wagner. 2007. “Mapping the Literature of Health Care Management.” </w:t>
      </w:r>
      <w:r w:rsidRPr="007624C5">
        <w:rPr>
          <w:rFonts w:ascii="Calibri" w:cs="Calibri"/>
          <w:i/>
          <w:iCs/>
        </w:rPr>
        <w:t>Journal of the Medical Library Association</w:t>
      </w:r>
      <w:r w:rsidRPr="007624C5">
        <w:rPr>
          <w:rFonts w:ascii="Calibri" w:cs="Calibri"/>
        </w:rPr>
        <w:t xml:space="preserve"> 95 (2): e58–65. https://doi.org/10.3163/1588-9439.95.2.E58.</w:t>
      </w:r>
    </w:p>
    <w:p w14:paraId="07FFB05E" w14:textId="77777777" w:rsidR="007624C5" w:rsidRPr="007624C5" w:rsidRDefault="007624C5" w:rsidP="007624C5">
      <w:pPr>
        <w:pStyle w:val="Bibliography"/>
        <w:rPr>
          <w:rFonts w:ascii="Calibri" w:cs="Calibri"/>
        </w:rPr>
      </w:pPr>
      <w:r w:rsidRPr="007624C5">
        <w:rPr>
          <w:rFonts w:ascii="Calibri" w:cs="Calibri"/>
        </w:rPr>
        <w:t xml:space="preserve">Vandenbroucke, Jan P., Erik Von Elm, Douglas G. Altman, Peter C. Gøtzsche, Cynthia D. Mulrow, Stuart J. Pocock, Charles Poole, James J. Schlesselman, and Matthias Egger. 2007. “Strengthening the </w:t>
      </w:r>
      <w:r w:rsidRPr="007624C5">
        <w:rPr>
          <w:rFonts w:ascii="Calibri" w:cs="Calibri"/>
        </w:rPr>
        <w:lastRenderedPageBreak/>
        <w:t xml:space="preserve">Reporting of Observational Studies in Epidemiology (Strobe): Explanation and Elaboration.” </w:t>
      </w:r>
      <w:r w:rsidRPr="007624C5">
        <w:rPr>
          <w:rFonts w:ascii="Calibri" w:cs="Calibri"/>
          <w:i/>
          <w:iCs/>
        </w:rPr>
        <w:t>Annals of Internal Medicine</w:t>
      </w:r>
      <w:r w:rsidRPr="007624C5">
        <w:rPr>
          <w:rFonts w:ascii="Calibri" w:cs="Calibri"/>
        </w:rPr>
        <w:t xml:space="preserve"> 147 (8): W–163.</w:t>
      </w:r>
    </w:p>
    <w:p w14:paraId="775DAD68" w14:textId="07225425" w:rsidR="00E25154" w:rsidRPr="002B2E36" w:rsidRDefault="007B36FB" w:rsidP="007B36FB">
      <w:pPr>
        <w:ind w:hanging="480"/>
      </w:pPr>
      <w:r>
        <w:fldChar w:fldCharType="end"/>
      </w:r>
    </w:p>
    <w:p w14:paraId="5FD27726" w14:textId="77777777" w:rsidR="00E25154" w:rsidRPr="002B2E36" w:rsidRDefault="00E25154" w:rsidP="00E25154"/>
    <w:p w14:paraId="2831DD20" w14:textId="77777777" w:rsidR="00E25154" w:rsidRPr="002B2E36" w:rsidRDefault="00E25154" w:rsidP="00E25154"/>
    <w:p w14:paraId="4D6499A1" w14:textId="77777777" w:rsidR="001C0372" w:rsidRDefault="001C0372"/>
    <w:sectPr w:rsidR="001C0372" w:rsidSect="00842EDB">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di Schneider" w:date="2020-09-16T09:43:00Z" w:initials="JS">
    <w:p w14:paraId="45B9771A" w14:textId="77777777" w:rsidR="00A13ADE" w:rsidRDefault="00A13ADE">
      <w:pPr>
        <w:pStyle w:val="CommentText"/>
      </w:pPr>
      <w:r>
        <w:rPr>
          <w:rStyle w:val="CommentReference"/>
        </w:rPr>
        <w:annotationRef/>
      </w:r>
      <w:r>
        <w:t>To add</w:t>
      </w:r>
    </w:p>
    <w:p w14:paraId="603D1CFC" w14:textId="77777777" w:rsidR="00A13ADE" w:rsidRDefault="00A13ADE">
      <w:pPr>
        <w:pStyle w:val="CommentText"/>
      </w:pPr>
    </w:p>
    <w:p w14:paraId="238DD4C7" w14:textId="63B564F4" w:rsidR="00A13ADE" w:rsidRDefault="00A13ADE" w:rsidP="00A13ADE">
      <w:pPr>
        <w:ind w:hanging="480"/>
      </w:pPr>
      <w:r w:rsidRPr="0024379C">
        <w:t xml:space="preserve">Fu &amp; Schneider. “Towards knowledge maintenance in scholarly digital libraries with keystone citations.” In JCDL 2020. Pages 217–226. </w:t>
      </w:r>
      <w:hyperlink r:id="rId1" w:history="1">
        <w:r w:rsidRPr="0024379C">
          <w:t>https://</w:t>
        </w:r>
      </w:hyperlink>
      <w:hyperlink r:id="rId2" w:history="1">
        <w:r w:rsidRPr="0024379C">
          <w:t>doi.org</w:t>
        </w:r>
      </w:hyperlink>
      <w:hyperlink r:id="rId3" w:history="1">
        <w:r w:rsidRPr="0024379C">
          <w:t>/10.1145/3383583.3398514</w:t>
        </w:r>
      </w:hyperlink>
    </w:p>
    <w:p w14:paraId="40EEDA47" w14:textId="77777777" w:rsidR="00A13ADE" w:rsidRPr="0024379C" w:rsidRDefault="00A13ADE" w:rsidP="00A13ADE">
      <w:pPr>
        <w:ind w:hanging="480"/>
      </w:pPr>
    </w:p>
    <w:p w14:paraId="132898FB" w14:textId="2638B661" w:rsidR="00A13ADE" w:rsidRDefault="00A13ADE" w:rsidP="00A13ADE">
      <w:pPr>
        <w:ind w:hanging="480"/>
      </w:pPr>
      <w:r w:rsidRPr="00337A2D">
        <w:t xml:space="preserve">Grizzle, Amy J., John Horn, Carol Collins, Jodi Schneider, Daniel C. Malone, Britney </w:t>
      </w:r>
      <w:proofErr w:type="spellStart"/>
      <w:r w:rsidRPr="00337A2D">
        <w:t>Stottlemyer</w:t>
      </w:r>
      <w:proofErr w:type="spellEnd"/>
      <w:r w:rsidRPr="00337A2D">
        <w:t xml:space="preserve">, and Richard David Boyce. “Identifying Common Methods Used by Drug Interaction Experts for Finding Evidence about Potential Drug-Drug Interactions: Web-Based Survey.” </w:t>
      </w:r>
      <w:r w:rsidRPr="00337A2D">
        <w:rPr>
          <w:i/>
          <w:iCs/>
        </w:rPr>
        <w:t>Journal of Medical Internet Research</w:t>
      </w:r>
      <w:r w:rsidRPr="00337A2D">
        <w:t xml:space="preserve"> 21, no. 1 (2019): e11182. </w:t>
      </w:r>
      <w:hyperlink r:id="rId4" w:history="1">
        <w:r w:rsidRPr="00337A2D">
          <w:rPr>
            <w:color w:val="0000FF"/>
            <w:u w:val="single"/>
          </w:rPr>
          <w:t>https://doi.org/10.2196/11182</w:t>
        </w:r>
      </w:hyperlink>
      <w:r w:rsidRPr="00337A2D">
        <w:t>.</w:t>
      </w:r>
    </w:p>
    <w:p w14:paraId="68B95FE2" w14:textId="77777777" w:rsidR="00A13ADE" w:rsidRDefault="00A13ADE" w:rsidP="00A13ADE">
      <w:pPr>
        <w:ind w:hanging="480"/>
      </w:pPr>
    </w:p>
    <w:p w14:paraId="1781A1FD" w14:textId="2AA0473B" w:rsidR="00A13ADE" w:rsidRDefault="00A13ADE" w:rsidP="00A13ADE">
      <w:pPr>
        <w:ind w:hanging="480"/>
      </w:pPr>
      <w:proofErr w:type="spellStart"/>
      <w:r w:rsidRPr="0024379C">
        <w:t>Hjørland</w:t>
      </w:r>
      <w:proofErr w:type="spellEnd"/>
      <w:r w:rsidRPr="0024379C">
        <w:t xml:space="preserve">, Birger, and Jenna </w:t>
      </w:r>
      <w:proofErr w:type="spellStart"/>
      <w:r w:rsidRPr="0024379C">
        <w:t>Hartel</w:t>
      </w:r>
      <w:proofErr w:type="spellEnd"/>
      <w:r w:rsidRPr="0024379C">
        <w:t xml:space="preserve">. 2003. “Afterword: Ontological, Epistemological and Sociological Dimensions of Domains.” </w:t>
      </w:r>
      <w:r w:rsidRPr="0024379C">
        <w:rPr>
          <w:i/>
        </w:rPr>
        <w:t>Knowledge Organization</w:t>
      </w:r>
      <w:r w:rsidRPr="0024379C">
        <w:t xml:space="preserve"> 30 (3/4): 239–45.</w:t>
      </w:r>
    </w:p>
    <w:p w14:paraId="61D96C03" w14:textId="77777777" w:rsidR="00A13ADE" w:rsidRDefault="00A13ADE" w:rsidP="00A13ADE">
      <w:pPr>
        <w:ind w:hanging="480"/>
      </w:pPr>
    </w:p>
    <w:p w14:paraId="6330215A" w14:textId="77777777" w:rsidR="00A13ADE" w:rsidRDefault="00A13ADE" w:rsidP="00A13ADE">
      <w:pPr>
        <w:ind w:hanging="480"/>
      </w:pPr>
      <w:r w:rsidRPr="0058297C">
        <w:t xml:space="preserve">Linh Hoang, Richard D. Boyce, Nigel Bosch, Britney A. </w:t>
      </w:r>
      <w:proofErr w:type="spellStart"/>
      <w:r w:rsidRPr="0058297C">
        <w:t>Stottlemyer</w:t>
      </w:r>
      <w:proofErr w:type="spellEnd"/>
      <w:r w:rsidRPr="0058297C">
        <w:t xml:space="preserve">, Mathias </w:t>
      </w:r>
      <w:proofErr w:type="spellStart"/>
      <w:r w:rsidRPr="0058297C">
        <w:t>Brochhausen</w:t>
      </w:r>
      <w:proofErr w:type="spellEnd"/>
      <w:r w:rsidRPr="0058297C">
        <w:t>, and Jodi Schneider. “Automatically classifying the evidence type of drug-drug interaction research papers as a step toward computer supported evidence curation.” In AMIA Annual Meeting. In press.</w:t>
      </w:r>
    </w:p>
    <w:p w14:paraId="6885D36F" w14:textId="77777777" w:rsidR="00A13ADE" w:rsidRDefault="00A13ADE">
      <w:pPr>
        <w:pStyle w:val="CommentText"/>
      </w:pPr>
    </w:p>
    <w:p w14:paraId="214C5EC7" w14:textId="1C6502E5" w:rsidR="00A13ADE" w:rsidRDefault="00A13ADE" w:rsidP="00A13ADE">
      <w:pPr>
        <w:ind w:hanging="480"/>
      </w:pPr>
      <w:proofErr w:type="spellStart"/>
      <w:r w:rsidRPr="0024379C">
        <w:t>Kleineberg</w:t>
      </w:r>
      <w:proofErr w:type="spellEnd"/>
      <w:r w:rsidRPr="0024379C">
        <w:t xml:space="preserve">, Michael. 2017. “Integrative Levels.” </w:t>
      </w:r>
      <w:r w:rsidRPr="0024379C">
        <w:rPr>
          <w:i/>
        </w:rPr>
        <w:t>Knowledge Organization</w:t>
      </w:r>
      <w:r w:rsidRPr="0024379C">
        <w:t xml:space="preserve"> 44 (5): 349–79.</w:t>
      </w:r>
      <w:hyperlink r:id="rId5" w:history="1">
        <w:r w:rsidRPr="0058297C">
          <w:t xml:space="preserve"> https://</w:t>
        </w:r>
      </w:hyperlink>
      <w:hyperlink r:id="rId6" w:history="1">
        <w:r w:rsidRPr="0058297C">
          <w:t>doi.org</w:t>
        </w:r>
      </w:hyperlink>
      <w:hyperlink r:id="rId7" w:history="1">
        <w:r w:rsidRPr="0058297C">
          <w:t>/10.5771/0943-7444-2017-5-349</w:t>
        </w:r>
      </w:hyperlink>
    </w:p>
    <w:p w14:paraId="6A2CDCB6" w14:textId="77777777" w:rsidR="00A13ADE" w:rsidRDefault="00A13ADE" w:rsidP="00A13ADE">
      <w:pPr>
        <w:ind w:hanging="480"/>
      </w:pPr>
    </w:p>
    <w:p w14:paraId="09DCB31E" w14:textId="4A2D4A6B" w:rsidR="00A13ADE" w:rsidRDefault="00A13ADE" w:rsidP="00A13ADE">
      <w:pPr>
        <w:ind w:hanging="480"/>
        <w:rPr>
          <w:noProof/>
        </w:rPr>
      </w:pPr>
      <w:r w:rsidRPr="0024379C">
        <w:t xml:space="preserve">Murad, Hassan, </w:t>
      </w:r>
      <w:proofErr w:type="spellStart"/>
      <w:r w:rsidRPr="0024379C">
        <w:t>Alsawas</w:t>
      </w:r>
      <w:proofErr w:type="spellEnd"/>
      <w:r w:rsidRPr="0024379C">
        <w:t xml:space="preserve">, and </w:t>
      </w:r>
      <w:proofErr w:type="spellStart"/>
      <w:r w:rsidRPr="0024379C">
        <w:t>Alahdab</w:t>
      </w:r>
      <w:proofErr w:type="spellEnd"/>
      <w:r w:rsidRPr="0024379C">
        <w:t xml:space="preserve">. 2016. “New Evidence Pyramid.” </w:t>
      </w:r>
      <w:r w:rsidRPr="0024379C">
        <w:rPr>
          <w:i/>
        </w:rPr>
        <w:t>BMJ Evidence-Based Medicine</w:t>
      </w:r>
      <w:r w:rsidRPr="0024379C">
        <w:t xml:space="preserve"> 21 (4): 125–27. </w:t>
      </w:r>
      <w:hyperlink r:id="rId8" w:history="1">
        <w:r w:rsidRPr="0058297C">
          <w:t>https://</w:t>
        </w:r>
      </w:hyperlink>
      <w:hyperlink r:id="rId9" w:history="1">
        <w:r w:rsidRPr="0058297C">
          <w:t>doi.org</w:t>
        </w:r>
      </w:hyperlink>
      <w:hyperlink r:id="rId10" w:history="1">
        <w:r w:rsidRPr="0058297C">
          <w:t>/10.1136/ebmed-2016-110401</w:t>
        </w:r>
      </w:hyperlink>
    </w:p>
    <w:p w14:paraId="468CC635" w14:textId="77777777" w:rsidR="00A13ADE" w:rsidRPr="0024379C" w:rsidRDefault="00A13ADE" w:rsidP="00A13ADE">
      <w:pPr>
        <w:ind w:hanging="480"/>
      </w:pPr>
    </w:p>
    <w:p w14:paraId="72D02990" w14:textId="77777777" w:rsidR="00A13ADE" w:rsidRPr="00337A2D" w:rsidRDefault="00A13ADE" w:rsidP="00A13ADE">
      <w:pPr>
        <w:ind w:hanging="480"/>
      </w:pPr>
      <w:proofErr w:type="spellStart"/>
      <w:r w:rsidRPr="00337A2D">
        <w:t>Romagnoli</w:t>
      </w:r>
      <w:proofErr w:type="spellEnd"/>
      <w:r w:rsidRPr="00337A2D">
        <w:t xml:space="preserve">, Katrina M., Scott D. Nelson, Lisa Hines, Philip </w:t>
      </w:r>
      <w:proofErr w:type="spellStart"/>
      <w:r w:rsidRPr="00337A2D">
        <w:t>Empey</w:t>
      </w:r>
      <w:proofErr w:type="spellEnd"/>
      <w:r w:rsidRPr="00337A2D">
        <w:t xml:space="preserve">, Richard D. Boyce, and Harry </w:t>
      </w:r>
      <w:proofErr w:type="spellStart"/>
      <w:r w:rsidRPr="00337A2D">
        <w:t>Hochheiser</w:t>
      </w:r>
      <w:proofErr w:type="spellEnd"/>
      <w:r w:rsidRPr="00337A2D">
        <w:t xml:space="preserve">. “Information Needs for Making Clinical Recommendations about Potential Drug-Drug Interactions: A Synthesis of Literature Review and Interviews.” </w:t>
      </w:r>
      <w:r w:rsidRPr="00337A2D">
        <w:rPr>
          <w:i/>
          <w:iCs/>
        </w:rPr>
        <w:t>BMC Medical Informatics and Decision Making</w:t>
      </w:r>
      <w:r w:rsidRPr="00337A2D">
        <w:t xml:space="preserve"> 17, no. 1 (February 22, 2017): 21. </w:t>
      </w:r>
      <w:hyperlink r:id="rId11" w:history="1">
        <w:r w:rsidRPr="00337A2D">
          <w:rPr>
            <w:color w:val="0000FF"/>
            <w:u w:val="single"/>
          </w:rPr>
          <w:t>https://doi.org/10.1186/s12911-017-0419-3</w:t>
        </w:r>
      </w:hyperlink>
      <w:r w:rsidRPr="00337A2D">
        <w:t>.</w:t>
      </w:r>
    </w:p>
    <w:p w14:paraId="2385EBD7" w14:textId="36D764D6" w:rsidR="00A13ADE" w:rsidRDefault="00A13ADE">
      <w:pPr>
        <w:pStyle w:val="CommentText"/>
      </w:pPr>
    </w:p>
    <w:p w14:paraId="00443266" w14:textId="534E1F90" w:rsidR="00A13ADE" w:rsidRDefault="00A13ADE">
      <w:pPr>
        <w:pStyle w:val="CommentText"/>
      </w:pPr>
    </w:p>
    <w:p w14:paraId="458759B1" w14:textId="49CF9CF8" w:rsidR="00A13ADE" w:rsidRDefault="00A13ADE" w:rsidP="00A13ADE">
      <w:pPr>
        <w:ind w:hanging="480"/>
        <w:rPr>
          <w:noProof/>
        </w:rPr>
      </w:pPr>
      <w:r w:rsidRPr="0024379C">
        <w:t>Steele &amp; Tiffin,‘‘</w:t>
      </w:r>
      <w:proofErr w:type="spellStart"/>
      <w:r w:rsidRPr="0024379C">
        <w:t>Personalised</w:t>
      </w:r>
      <w:proofErr w:type="spellEnd"/>
      <w:r w:rsidRPr="0024379C">
        <w:t xml:space="preserve"> evidence’ for </w:t>
      </w:r>
      <w:proofErr w:type="spellStart"/>
      <w:r w:rsidRPr="0024379C">
        <w:t>personalised</w:t>
      </w:r>
      <w:proofErr w:type="spellEnd"/>
      <w:r w:rsidRPr="0024379C">
        <w:t xml:space="preserve"> healthcare: integration of a clinical librarian into mental health services – a feasibility study, The Psychiatric Bulletin 38(1) (2014), 29–35. </w:t>
      </w:r>
      <w:hyperlink r:id="rId12" w:history="1">
        <w:r w:rsidRPr="0058297C">
          <w:t>https://</w:t>
        </w:r>
      </w:hyperlink>
      <w:hyperlink r:id="rId13" w:history="1">
        <w:r w:rsidRPr="0058297C">
          <w:t>doi.org</w:t>
        </w:r>
      </w:hyperlink>
      <w:hyperlink r:id="rId14" w:history="1">
        <w:r w:rsidRPr="0058297C">
          <w:t>/10.1192/pb.bp.112.042382</w:t>
        </w:r>
      </w:hyperlink>
    </w:p>
    <w:p w14:paraId="3CC5AC56" w14:textId="77777777" w:rsidR="00A13ADE" w:rsidRDefault="00A13ADE" w:rsidP="00A13ADE">
      <w:pPr>
        <w:ind w:hanging="480"/>
      </w:pPr>
    </w:p>
    <w:p w14:paraId="7488C3BF" w14:textId="543E5622" w:rsidR="00A13ADE" w:rsidRDefault="00A13ADE" w:rsidP="00A13ADE">
      <w:pPr>
        <w:ind w:hanging="480"/>
        <w:rPr>
          <w:noProof/>
        </w:rPr>
      </w:pPr>
      <w:r w:rsidRPr="0024379C">
        <w:t xml:space="preserve">Teufel, S. (2014). Scientific Argumentation Detection as Limited-domain Intention Recognition. In </w:t>
      </w:r>
      <w:proofErr w:type="spellStart"/>
      <w:r w:rsidRPr="0024379C">
        <w:t>ArgNLP</w:t>
      </w:r>
      <w:proofErr w:type="spellEnd"/>
      <w:r w:rsidRPr="0024379C">
        <w:t xml:space="preserve"> 2014 Frontiers and Connections between Argumentation Theory and Natural Language Processing. </w:t>
      </w:r>
      <w:hyperlink r:id="rId15" w:history="1">
        <w:r w:rsidRPr="0058297C">
          <w:t>http://</w:t>
        </w:r>
      </w:hyperlink>
      <w:hyperlink r:id="rId16" w:history="1">
        <w:r w:rsidRPr="0058297C">
          <w:t>ceur-ws.org</w:t>
        </w:r>
      </w:hyperlink>
      <w:hyperlink r:id="rId17" w:history="1">
        <w:r w:rsidRPr="0058297C">
          <w:t>/Vol-1341/paper14.pdf</w:t>
        </w:r>
      </w:hyperlink>
    </w:p>
    <w:p w14:paraId="767B3E33" w14:textId="77777777" w:rsidR="00A13ADE" w:rsidRDefault="00A13ADE" w:rsidP="00A13ADE">
      <w:pPr>
        <w:ind w:hanging="480"/>
      </w:pPr>
    </w:p>
    <w:p w14:paraId="3DCA7E88" w14:textId="77777777" w:rsidR="00A13ADE" w:rsidRPr="0024379C" w:rsidRDefault="00A13ADE" w:rsidP="00A13ADE">
      <w:pPr>
        <w:ind w:hanging="480"/>
      </w:pPr>
      <w:proofErr w:type="spellStart"/>
      <w:r w:rsidRPr="0024379C">
        <w:t>Tugwell</w:t>
      </w:r>
      <w:proofErr w:type="spellEnd"/>
      <w:r w:rsidRPr="0024379C">
        <w:t xml:space="preserve">, Peter, and J. André </w:t>
      </w:r>
      <w:proofErr w:type="spellStart"/>
      <w:r w:rsidRPr="0024379C">
        <w:t>Knottnerus</w:t>
      </w:r>
      <w:proofErr w:type="spellEnd"/>
      <w:r w:rsidRPr="0024379C">
        <w:t xml:space="preserve">. 2015. “Is the ‘Evidence-Pyramid’ Now Dead?” Journal of Clinical Epidemiology 68 (11): 1247–50. </w:t>
      </w:r>
      <w:hyperlink r:id="rId18" w:history="1">
        <w:r w:rsidRPr="0058297C">
          <w:t>https://</w:t>
        </w:r>
      </w:hyperlink>
      <w:hyperlink r:id="rId19" w:history="1">
        <w:r w:rsidRPr="0058297C">
          <w:t>doi.org</w:t>
        </w:r>
      </w:hyperlink>
      <w:hyperlink r:id="rId20" w:history="1">
        <w:r w:rsidRPr="0058297C">
          <w:t>/10.1016/j.jclinepi.2015.10.001</w:t>
        </w:r>
      </w:hyperlink>
    </w:p>
    <w:p w14:paraId="771DAD1B" w14:textId="77777777" w:rsidR="00A13ADE" w:rsidRDefault="00A13ADE">
      <w:pPr>
        <w:pStyle w:val="CommentText"/>
      </w:pPr>
    </w:p>
    <w:p w14:paraId="32F1DCA4" w14:textId="710D3A63" w:rsidR="00A13ADE" w:rsidRDefault="00A13AD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1DC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1DCA4" w16cid:durableId="230C5C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26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D83200"/>
    <w:multiLevelType w:val="hybridMultilevel"/>
    <w:tmpl w:val="CAE8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E5208"/>
    <w:multiLevelType w:val="hybridMultilevel"/>
    <w:tmpl w:val="A8F6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43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di Schneider">
    <w15:presenceInfo w15:providerId="None" w15:userId="Jodi Schnei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54"/>
    <w:rsid w:val="00001B2C"/>
    <w:rsid w:val="00013E5E"/>
    <w:rsid w:val="0002153F"/>
    <w:rsid w:val="00036BBD"/>
    <w:rsid w:val="0004164B"/>
    <w:rsid w:val="00051376"/>
    <w:rsid w:val="000657CE"/>
    <w:rsid w:val="00065985"/>
    <w:rsid w:val="00073830"/>
    <w:rsid w:val="000751DD"/>
    <w:rsid w:val="000947F8"/>
    <w:rsid w:val="000A511F"/>
    <w:rsid w:val="000A78EB"/>
    <w:rsid w:val="000B35AB"/>
    <w:rsid w:val="000B390E"/>
    <w:rsid w:val="000E5944"/>
    <w:rsid w:val="000F545F"/>
    <w:rsid w:val="00107FE9"/>
    <w:rsid w:val="00111BE1"/>
    <w:rsid w:val="00111BE8"/>
    <w:rsid w:val="001132EE"/>
    <w:rsid w:val="00113832"/>
    <w:rsid w:val="00121467"/>
    <w:rsid w:val="0012449C"/>
    <w:rsid w:val="0013027C"/>
    <w:rsid w:val="00132F27"/>
    <w:rsid w:val="001333DF"/>
    <w:rsid w:val="00134AA9"/>
    <w:rsid w:val="00135384"/>
    <w:rsid w:val="00141FB4"/>
    <w:rsid w:val="00144564"/>
    <w:rsid w:val="00145094"/>
    <w:rsid w:val="00150728"/>
    <w:rsid w:val="00155AE9"/>
    <w:rsid w:val="001563DF"/>
    <w:rsid w:val="001621A6"/>
    <w:rsid w:val="00163A3A"/>
    <w:rsid w:val="001667C4"/>
    <w:rsid w:val="00167959"/>
    <w:rsid w:val="00170C2A"/>
    <w:rsid w:val="00180E92"/>
    <w:rsid w:val="0018394E"/>
    <w:rsid w:val="00196E61"/>
    <w:rsid w:val="001A1E66"/>
    <w:rsid w:val="001A4DBD"/>
    <w:rsid w:val="001A7ABD"/>
    <w:rsid w:val="001B2D16"/>
    <w:rsid w:val="001C0372"/>
    <w:rsid w:val="001C055D"/>
    <w:rsid w:val="001C0B18"/>
    <w:rsid w:val="001C16EE"/>
    <w:rsid w:val="001C2171"/>
    <w:rsid w:val="001C61AA"/>
    <w:rsid w:val="001D6D3B"/>
    <w:rsid w:val="001E5C00"/>
    <w:rsid w:val="001F50ED"/>
    <w:rsid w:val="001F6048"/>
    <w:rsid w:val="001F6644"/>
    <w:rsid w:val="00211A18"/>
    <w:rsid w:val="00231F2B"/>
    <w:rsid w:val="002354AD"/>
    <w:rsid w:val="0023797B"/>
    <w:rsid w:val="00242344"/>
    <w:rsid w:val="002574D2"/>
    <w:rsid w:val="00262306"/>
    <w:rsid w:val="002641D3"/>
    <w:rsid w:val="002670DC"/>
    <w:rsid w:val="00267936"/>
    <w:rsid w:val="00283448"/>
    <w:rsid w:val="002942CA"/>
    <w:rsid w:val="002A073D"/>
    <w:rsid w:val="002A63C3"/>
    <w:rsid w:val="002B4FE6"/>
    <w:rsid w:val="002C0434"/>
    <w:rsid w:val="002C2842"/>
    <w:rsid w:val="002D56BA"/>
    <w:rsid w:val="002E290A"/>
    <w:rsid w:val="002E53F2"/>
    <w:rsid w:val="002E6943"/>
    <w:rsid w:val="002F3CD1"/>
    <w:rsid w:val="00301AC8"/>
    <w:rsid w:val="0030765F"/>
    <w:rsid w:val="00310684"/>
    <w:rsid w:val="00310C5A"/>
    <w:rsid w:val="00311CF4"/>
    <w:rsid w:val="00324372"/>
    <w:rsid w:val="003256C2"/>
    <w:rsid w:val="00327D61"/>
    <w:rsid w:val="00337063"/>
    <w:rsid w:val="00354343"/>
    <w:rsid w:val="0036151C"/>
    <w:rsid w:val="00377B43"/>
    <w:rsid w:val="00394336"/>
    <w:rsid w:val="00394980"/>
    <w:rsid w:val="003A032B"/>
    <w:rsid w:val="003A24F8"/>
    <w:rsid w:val="003A6922"/>
    <w:rsid w:val="003B2029"/>
    <w:rsid w:val="003D10A2"/>
    <w:rsid w:val="003E1A18"/>
    <w:rsid w:val="003F1898"/>
    <w:rsid w:val="003F2C35"/>
    <w:rsid w:val="003F572C"/>
    <w:rsid w:val="00417BF5"/>
    <w:rsid w:val="004201FE"/>
    <w:rsid w:val="004259F7"/>
    <w:rsid w:val="004301A6"/>
    <w:rsid w:val="00431A51"/>
    <w:rsid w:val="00433B2E"/>
    <w:rsid w:val="00441BFD"/>
    <w:rsid w:val="004438B3"/>
    <w:rsid w:val="00443ADA"/>
    <w:rsid w:val="00447EEF"/>
    <w:rsid w:val="00452DED"/>
    <w:rsid w:val="0045343A"/>
    <w:rsid w:val="00457CEC"/>
    <w:rsid w:val="004668C3"/>
    <w:rsid w:val="0047460D"/>
    <w:rsid w:val="00480EEF"/>
    <w:rsid w:val="00483EFF"/>
    <w:rsid w:val="00484A21"/>
    <w:rsid w:val="0048798F"/>
    <w:rsid w:val="004A2B25"/>
    <w:rsid w:val="004A6A78"/>
    <w:rsid w:val="004B6626"/>
    <w:rsid w:val="004C0D4D"/>
    <w:rsid w:val="004C5DDB"/>
    <w:rsid w:val="004C6B7C"/>
    <w:rsid w:val="004D061D"/>
    <w:rsid w:val="004D09D4"/>
    <w:rsid w:val="004D1E0E"/>
    <w:rsid w:val="004D2A82"/>
    <w:rsid w:val="004E2859"/>
    <w:rsid w:val="004F2551"/>
    <w:rsid w:val="00510770"/>
    <w:rsid w:val="00511DB0"/>
    <w:rsid w:val="00521CA3"/>
    <w:rsid w:val="005414BD"/>
    <w:rsid w:val="005461AF"/>
    <w:rsid w:val="005516CE"/>
    <w:rsid w:val="005524DE"/>
    <w:rsid w:val="00552CA1"/>
    <w:rsid w:val="00553269"/>
    <w:rsid w:val="00554797"/>
    <w:rsid w:val="00564AB8"/>
    <w:rsid w:val="00567A7F"/>
    <w:rsid w:val="005700FB"/>
    <w:rsid w:val="005712E2"/>
    <w:rsid w:val="00581893"/>
    <w:rsid w:val="00594764"/>
    <w:rsid w:val="005A5DD3"/>
    <w:rsid w:val="005C3C2A"/>
    <w:rsid w:val="005D251A"/>
    <w:rsid w:val="005D3086"/>
    <w:rsid w:val="005D7328"/>
    <w:rsid w:val="005D73F1"/>
    <w:rsid w:val="005E1E3C"/>
    <w:rsid w:val="005E1EAA"/>
    <w:rsid w:val="005E385C"/>
    <w:rsid w:val="0061531D"/>
    <w:rsid w:val="006158AE"/>
    <w:rsid w:val="00623610"/>
    <w:rsid w:val="00624711"/>
    <w:rsid w:val="0062726F"/>
    <w:rsid w:val="00636297"/>
    <w:rsid w:val="006452B1"/>
    <w:rsid w:val="00662C38"/>
    <w:rsid w:val="00663B19"/>
    <w:rsid w:val="00667EC4"/>
    <w:rsid w:val="00674994"/>
    <w:rsid w:val="00677768"/>
    <w:rsid w:val="0069480B"/>
    <w:rsid w:val="00696C0B"/>
    <w:rsid w:val="006A4455"/>
    <w:rsid w:val="006C3F1E"/>
    <w:rsid w:val="006C645C"/>
    <w:rsid w:val="006D5127"/>
    <w:rsid w:val="006D5366"/>
    <w:rsid w:val="006E04F1"/>
    <w:rsid w:val="006F20B6"/>
    <w:rsid w:val="006F6DAF"/>
    <w:rsid w:val="00700ED4"/>
    <w:rsid w:val="007143F1"/>
    <w:rsid w:val="00716F9E"/>
    <w:rsid w:val="007210B3"/>
    <w:rsid w:val="0073244A"/>
    <w:rsid w:val="00732D1E"/>
    <w:rsid w:val="0075003C"/>
    <w:rsid w:val="00756093"/>
    <w:rsid w:val="00760D34"/>
    <w:rsid w:val="007616F7"/>
    <w:rsid w:val="007624C5"/>
    <w:rsid w:val="00764608"/>
    <w:rsid w:val="00777E29"/>
    <w:rsid w:val="007832F8"/>
    <w:rsid w:val="007931E2"/>
    <w:rsid w:val="00793B8A"/>
    <w:rsid w:val="00794858"/>
    <w:rsid w:val="00795191"/>
    <w:rsid w:val="007A58D5"/>
    <w:rsid w:val="007A62C2"/>
    <w:rsid w:val="007B0908"/>
    <w:rsid w:val="007B31C0"/>
    <w:rsid w:val="007B36FB"/>
    <w:rsid w:val="007B5498"/>
    <w:rsid w:val="007B7BE6"/>
    <w:rsid w:val="007C1D17"/>
    <w:rsid w:val="007C526E"/>
    <w:rsid w:val="007C7BB4"/>
    <w:rsid w:val="007D4B4A"/>
    <w:rsid w:val="007E2201"/>
    <w:rsid w:val="007F17D7"/>
    <w:rsid w:val="007F342E"/>
    <w:rsid w:val="00803710"/>
    <w:rsid w:val="00803BB8"/>
    <w:rsid w:val="0082155B"/>
    <w:rsid w:val="00826AE3"/>
    <w:rsid w:val="00831E02"/>
    <w:rsid w:val="008447CF"/>
    <w:rsid w:val="00857323"/>
    <w:rsid w:val="00873680"/>
    <w:rsid w:val="0089028F"/>
    <w:rsid w:val="00891065"/>
    <w:rsid w:val="008A0142"/>
    <w:rsid w:val="008A627C"/>
    <w:rsid w:val="008A79BB"/>
    <w:rsid w:val="008B28A0"/>
    <w:rsid w:val="008B5226"/>
    <w:rsid w:val="008C41C4"/>
    <w:rsid w:val="008C6211"/>
    <w:rsid w:val="008D1196"/>
    <w:rsid w:val="008D6BBB"/>
    <w:rsid w:val="008E400B"/>
    <w:rsid w:val="008E508C"/>
    <w:rsid w:val="008E7F4F"/>
    <w:rsid w:val="008F3686"/>
    <w:rsid w:val="009159C6"/>
    <w:rsid w:val="00917452"/>
    <w:rsid w:val="00921132"/>
    <w:rsid w:val="00927373"/>
    <w:rsid w:val="00937066"/>
    <w:rsid w:val="00941F8F"/>
    <w:rsid w:val="00963DF8"/>
    <w:rsid w:val="009718B9"/>
    <w:rsid w:val="009723A3"/>
    <w:rsid w:val="00972F3A"/>
    <w:rsid w:val="00975EDD"/>
    <w:rsid w:val="009771F8"/>
    <w:rsid w:val="00983F36"/>
    <w:rsid w:val="00985DCF"/>
    <w:rsid w:val="0098775A"/>
    <w:rsid w:val="009958A4"/>
    <w:rsid w:val="00997D0B"/>
    <w:rsid w:val="009A446F"/>
    <w:rsid w:val="009B0B79"/>
    <w:rsid w:val="009B71A5"/>
    <w:rsid w:val="009C0F27"/>
    <w:rsid w:val="009C1CC7"/>
    <w:rsid w:val="009C29F5"/>
    <w:rsid w:val="009C3765"/>
    <w:rsid w:val="009C4193"/>
    <w:rsid w:val="009D19EE"/>
    <w:rsid w:val="009D757F"/>
    <w:rsid w:val="009F67BE"/>
    <w:rsid w:val="00A13ADE"/>
    <w:rsid w:val="00A329D4"/>
    <w:rsid w:val="00A3341A"/>
    <w:rsid w:val="00A40B73"/>
    <w:rsid w:val="00A410A7"/>
    <w:rsid w:val="00A57D58"/>
    <w:rsid w:val="00A848E4"/>
    <w:rsid w:val="00A84C21"/>
    <w:rsid w:val="00A85926"/>
    <w:rsid w:val="00A951D9"/>
    <w:rsid w:val="00A97107"/>
    <w:rsid w:val="00AA08C1"/>
    <w:rsid w:val="00AA0AA3"/>
    <w:rsid w:val="00AA505C"/>
    <w:rsid w:val="00AB2DF8"/>
    <w:rsid w:val="00AC4B5F"/>
    <w:rsid w:val="00AE2690"/>
    <w:rsid w:val="00AF2892"/>
    <w:rsid w:val="00B01101"/>
    <w:rsid w:val="00B0198D"/>
    <w:rsid w:val="00B05EDE"/>
    <w:rsid w:val="00B06057"/>
    <w:rsid w:val="00B11A9D"/>
    <w:rsid w:val="00B1242E"/>
    <w:rsid w:val="00B12647"/>
    <w:rsid w:val="00B22C42"/>
    <w:rsid w:val="00B32639"/>
    <w:rsid w:val="00B50A05"/>
    <w:rsid w:val="00B62C17"/>
    <w:rsid w:val="00B67D4D"/>
    <w:rsid w:val="00B72862"/>
    <w:rsid w:val="00B9773F"/>
    <w:rsid w:val="00BA6D5F"/>
    <w:rsid w:val="00BB082C"/>
    <w:rsid w:val="00BB5C91"/>
    <w:rsid w:val="00BC1450"/>
    <w:rsid w:val="00BC330C"/>
    <w:rsid w:val="00BD30FE"/>
    <w:rsid w:val="00BE2053"/>
    <w:rsid w:val="00BE77A0"/>
    <w:rsid w:val="00BF4979"/>
    <w:rsid w:val="00C12089"/>
    <w:rsid w:val="00C17341"/>
    <w:rsid w:val="00C35B7F"/>
    <w:rsid w:val="00C41038"/>
    <w:rsid w:val="00C41CDD"/>
    <w:rsid w:val="00C502C9"/>
    <w:rsid w:val="00C508D8"/>
    <w:rsid w:val="00C67A7C"/>
    <w:rsid w:val="00C74975"/>
    <w:rsid w:val="00C7591F"/>
    <w:rsid w:val="00C94A83"/>
    <w:rsid w:val="00CA6AD6"/>
    <w:rsid w:val="00CC4D53"/>
    <w:rsid w:val="00CE1783"/>
    <w:rsid w:val="00CE4AF3"/>
    <w:rsid w:val="00CE52C6"/>
    <w:rsid w:val="00CE69EB"/>
    <w:rsid w:val="00CF3EFE"/>
    <w:rsid w:val="00D073BA"/>
    <w:rsid w:val="00D247EC"/>
    <w:rsid w:val="00D25050"/>
    <w:rsid w:val="00D2537B"/>
    <w:rsid w:val="00D25424"/>
    <w:rsid w:val="00D45AE4"/>
    <w:rsid w:val="00D4655E"/>
    <w:rsid w:val="00D513E1"/>
    <w:rsid w:val="00D60A1E"/>
    <w:rsid w:val="00D65E05"/>
    <w:rsid w:val="00D674BC"/>
    <w:rsid w:val="00D745F4"/>
    <w:rsid w:val="00D87895"/>
    <w:rsid w:val="00D91585"/>
    <w:rsid w:val="00D94981"/>
    <w:rsid w:val="00DA71A2"/>
    <w:rsid w:val="00DB7E37"/>
    <w:rsid w:val="00DC7605"/>
    <w:rsid w:val="00DD3AA0"/>
    <w:rsid w:val="00DD3DD7"/>
    <w:rsid w:val="00DE2DFD"/>
    <w:rsid w:val="00DE6B2B"/>
    <w:rsid w:val="00E0063B"/>
    <w:rsid w:val="00E00FD7"/>
    <w:rsid w:val="00E076B9"/>
    <w:rsid w:val="00E13443"/>
    <w:rsid w:val="00E25154"/>
    <w:rsid w:val="00E424F7"/>
    <w:rsid w:val="00E5637E"/>
    <w:rsid w:val="00E57E5A"/>
    <w:rsid w:val="00E67F22"/>
    <w:rsid w:val="00E76CC2"/>
    <w:rsid w:val="00E76F01"/>
    <w:rsid w:val="00E9243A"/>
    <w:rsid w:val="00E93F85"/>
    <w:rsid w:val="00E94871"/>
    <w:rsid w:val="00E95E12"/>
    <w:rsid w:val="00E97AE3"/>
    <w:rsid w:val="00EA25CE"/>
    <w:rsid w:val="00EA6576"/>
    <w:rsid w:val="00EB05F9"/>
    <w:rsid w:val="00EB7FE9"/>
    <w:rsid w:val="00EC1C2D"/>
    <w:rsid w:val="00EC2B96"/>
    <w:rsid w:val="00EC2F86"/>
    <w:rsid w:val="00EC643F"/>
    <w:rsid w:val="00EF5BBE"/>
    <w:rsid w:val="00F065E1"/>
    <w:rsid w:val="00F12972"/>
    <w:rsid w:val="00F15F76"/>
    <w:rsid w:val="00F228F8"/>
    <w:rsid w:val="00F34FE2"/>
    <w:rsid w:val="00F35D9F"/>
    <w:rsid w:val="00F407C1"/>
    <w:rsid w:val="00F67AF3"/>
    <w:rsid w:val="00F7396E"/>
    <w:rsid w:val="00F80144"/>
    <w:rsid w:val="00F80C2C"/>
    <w:rsid w:val="00F82EB0"/>
    <w:rsid w:val="00F9049C"/>
    <w:rsid w:val="00F90F0A"/>
    <w:rsid w:val="00FA0C4C"/>
    <w:rsid w:val="00FA1BC2"/>
    <w:rsid w:val="00FA3CEE"/>
    <w:rsid w:val="00FA6DC0"/>
    <w:rsid w:val="00FB7804"/>
    <w:rsid w:val="00FB7AC5"/>
    <w:rsid w:val="00FC3177"/>
    <w:rsid w:val="00FE2D3E"/>
    <w:rsid w:val="00FF13A0"/>
    <w:rsid w:val="00FF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57625"/>
  <w15:chartTrackingRefBased/>
  <w15:docId w15:val="{C676DA91-BAC3-5842-95C2-990340410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7B36FB"/>
    <w:pPr>
      <w:ind w:left="720" w:hanging="720"/>
    </w:pPr>
  </w:style>
  <w:style w:type="character" w:styleId="Hyperlink">
    <w:name w:val="Hyperlink"/>
    <w:basedOn w:val="DefaultParagraphFont"/>
    <w:uiPriority w:val="99"/>
    <w:unhideWhenUsed/>
    <w:rsid w:val="00AB2DF8"/>
    <w:rPr>
      <w:color w:val="0563C1" w:themeColor="hyperlink"/>
      <w:u w:val="single"/>
    </w:rPr>
  </w:style>
  <w:style w:type="character" w:styleId="UnresolvedMention">
    <w:name w:val="Unresolved Mention"/>
    <w:basedOn w:val="DefaultParagraphFont"/>
    <w:uiPriority w:val="99"/>
    <w:semiHidden/>
    <w:unhideWhenUsed/>
    <w:rsid w:val="00AB2DF8"/>
    <w:rPr>
      <w:color w:val="605E5C"/>
      <w:shd w:val="clear" w:color="auto" w:fill="E1DFDD"/>
    </w:rPr>
  </w:style>
  <w:style w:type="paragraph" w:styleId="NormalWeb">
    <w:name w:val="Normal (Web)"/>
    <w:basedOn w:val="Normal"/>
    <w:uiPriority w:val="99"/>
    <w:unhideWhenUsed/>
    <w:rsid w:val="00AB2D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8798F"/>
    <w:pPr>
      <w:ind w:left="720"/>
      <w:contextualSpacing/>
    </w:pPr>
  </w:style>
  <w:style w:type="character" w:styleId="CommentReference">
    <w:name w:val="annotation reference"/>
    <w:basedOn w:val="DefaultParagraphFont"/>
    <w:uiPriority w:val="99"/>
    <w:semiHidden/>
    <w:unhideWhenUsed/>
    <w:rsid w:val="00A13ADE"/>
    <w:rPr>
      <w:sz w:val="16"/>
      <w:szCs w:val="16"/>
    </w:rPr>
  </w:style>
  <w:style w:type="paragraph" w:styleId="CommentText">
    <w:name w:val="annotation text"/>
    <w:basedOn w:val="Normal"/>
    <w:link w:val="CommentTextChar"/>
    <w:uiPriority w:val="99"/>
    <w:semiHidden/>
    <w:unhideWhenUsed/>
    <w:rsid w:val="00A13ADE"/>
    <w:rPr>
      <w:sz w:val="20"/>
      <w:szCs w:val="20"/>
    </w:rPr>
  </w:style>
  <w:style w:type="character" w:customStyle="1" w:styleId="CommentTextChar">
    <w:name w:val="Comment Text Char"/>
    <w:basedOn w:val="DefaultParagraphFont"/>
    <w:link w:val="CommentText"/>
    <w:uiPriority w:val="99"/>
    <w:semiHidden/>
    <w:rsid w:val="00A13ADE"/>
    <w:rPr>
      <w:sz w:val="20"/>
      <w:szCs w:val="20"/>
    </w:rPr>
  </w:style>
  <w:style w:type="paragraph" w:styleId="CommentSubject">
    <w:name w:val="annotation subject"/>
    <w:basedOn w:val="CommentText"/>
    <w:next w:val="CommentText"/>
    <w:link w:val="CommentSubjectChar"/>
    <w:uiPriority w:val="99"/>
    <w:semiHidden/>
    <w:unhideWhenUsed/>
    <w:rsid w:val="00A13ADE"/>
    <w:rPr>
      <w:b/>
      <w:bCs/>
    </w:rPr>
  </w:style>
  <w:style w:type="character" w:customStyle="1" w:styleId="CommentSubjectChar">
    <w:name w:val="Comment Subject Char"/>
    <w:basedOn w:val="CommentTextChar"/>
    <w:link w:val="CommentSubject"/>
    <w:uiPriority w:val="99"/>
    <w:semiHidden/>
    <w:rsid w:val="00A13ADE"/>
    <w:rPr>
      <w:b/>
      <w:bCs/>
      <w:sz w:val="20"/>
      <w:szCs w:val="20"/>
    </w:rPr>
  </w:style>
  <w:style w:type="paragraph" w:styleId="BalloonText">
    <w:name w:val="Balloon Text"/>
    <w:basedOn w:val="Normal"/>
    <w:link w:val="BalloonTextChar"/>
    <w:uiPriority w:val="99"/>
    <w:semiHidden/>
    <w:unhideWhenUsed/>
    <w:rsid w:val="00A13A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3ADE"/>
    <w:rPr>
      <w:rFonts w:ascii="Times New Roman" w:hAnsi="Times New Roman" w:cs="Times New Roman"/>
      <w:sz w:val="18"/>
      <w:szCs w:val="18"/>
    </w:rPr>
  </w:style>
  <w:style w:type="paragraph" w:styleId="Revision">
    <w:name w:val="Revision"/>
    <w:hidden/>
    <w:uiPriority w:val="99"/>
    <w:semiHidden/>
    <w:rsid w:val="00A1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4342">
      <w:bodyDiv w:val="1"/>
      <w:marLeft w:val="0"/>
      <w:marRight w:val="0"/>
      <w:marTop w:val="0"/>
      <w:marBottom w:val="0"/>
      <w:divBdr>
        <w:top w:val="none" w:sz="0" w:space="0" w:color="auto"/>
        <w:left w:val="none" w:sz="0" w:space="0" w:color="auto"/>
        <w:bottom w:val="none" w:sz="0" w:space="0" w:color="auto"/>
        <w:right w:val="none" w:sz="0" w:space="0" w:color="auto"/>
      </w:divBdr>
      <w:divsChild>
        <w:div w:id="1004625817">
          <w:marLeft w:val="0"/>
          <w:marRight w:val="0"/>
          <w:marTop w:val="0"/>
          <w:marBottom w:val="0"/>
          <w:divBdr>
            <w:top w:val="none" w:sz="0" w:space="0" w:color="auto"/>
            <w:left w:val="none" w:sz="0" w:space="0" w:color="auto"/>
            <w:bottom w:val="none" w:sz="0" w:space="0" w:color="auto"/>
            <w:right w:val="none" w:sz="0" w:space="0" w:color="auto"/>
          </w:divBdr>
          <w:divsChild>
            <w:div w:id="2087454121">
              <w:marLeft w:val="0"/>
              <w:marRight w:val="0"/>
              <w:marTop w:val="0"/>
              <w:marBottom w:val="0"/>
              <w:divBdr>
                <w:top w:val="none" w:sz="0" w:space="0" w:color="auto"/>
                <w:left w:val="none" w:sz="0" w:space="0" w:color="auto"/>
                <w:bottom w:val="none" w:sz="0" w:space="0" w:color="auto"/>
                <w:right w:val="none" w:sz="0" w:space="0" w:color="auto"/>
              </w:divBdr>
              <w:divsChild>
                <w:div w:id="13567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70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107">
          <w:marLeft w:val="0"/>
          <w:marRight w:val="0"/>
          <w:marTop w:val="0"/>
          <w:marBottom w:val="0"/>
          <w:divBdr>
            <w:top w:val="none" w:sz="0" w:space="0" w:color="auto"/>
            <w:left w:val="none" w:sz="0" w:space="0" w:color="auto"/>
            <w:bottom w:val="none" w:sz="0" w:space="0" w:color="auto"/>
            <w:right w:val="none" w:sz="0" w:space="0" w:color="auto"/>
          </w:divBdr>
          <w:divsChild>
            <w:div w:id="289628242">
              <w:marLeft w:val="0"/>
              <w:marRight w:val="0"/>
              <w:marTop w:val="0"/>
              <w:marBottom w:val="0"/>
              <w:divBdr>
                <w:top w:val="none" w:sz="0" w:space="0" w:color="auto"/>
                <w:left w:val="none" w:sz="0" w:space="0" w:color="auto"/>
                <w:bottom w:val="none" w:sz="0" w:space="0" w:color="auto"/>
                <w:right w:val="none" w:sz="0" w:space="0" w:color="auto"/>
              </w:divBdr>
              <w:divsChild>
                <w:div w:id="4946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45237">
      <w:bodyDiv w:val="1"/>
      <w:marLeft w:val="0"/>
      <w:marRight w:val="0"/>
      <w:marTop w:val="0"/>
      <w:marBottom w:val="0"/>
      <w:divBdr>
        <w:top w:val="none" w:sz="0" w:space="0" w:color="auto"/>
        <w:left w:val="none" w:sz="0" w:space="0" w:color="auto"/>
        <w:bottom w:val="none" w:sz="0" w:space="0" w:color="auto"/>
        <w:right w:val="none" w:sz="0" w:space="0" w:color="auto"/>
      </w:divBdr>
      <w:divsChild>
        <w:div w:id="557864410">
          <w:marLeft w:val="0"/>
          <w:marRight w:val="0"/>
          <w:marTop w:val="0"/>
          <w:marBottom w:val="0"/>
          <w:divBdr>
            <w:top w:val="none" w:sz="0" w:space="0" w:color="auto"/>
            <w:left w:val="none" w:sz="0" w:space="0" w:color="auto"/>
            <w:bottom w:val="none" w:sz="0" w:space="0" w:color="auto"/>
            <w:right w:val="none" w:sz="0" w:space="0" w:color="auto"/>
          </w:divBdr>
          <w:divsChild>
            <w:div w:id="1204487943">
              <w:marLeft w:val="0"/>
              <w:marRight w:val="0"/>
              <w:marTop w:val="0"/>
              <w:marBottom w:val="0"/>
              <w:divBdr>
                <w:top w:val="none" w:sz="0" w:space="0" w:color="auto"/>
                <w:left w:val="none" w:sz="0" w:space="0" w:color="auto"/>
                <w:bottom w:val="none" w:sz="0" w:space="0" w:color="auto"/>
                <w:right w:val="none" w:sz="0" w:space="0" w:color="auto"/>
              </w:divBdr>
              <w:divsChild>
                <w:div w:id="2084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5440">
      <w:bodyDiv w:val="1"/>
      <w:marLeft w:val="0"/>
      <w:marRight w:val="0"/>
      <w:marTop w:val="0"/>
      <w:marBottom w:val="0"/>
      <w:divBdr>
        <w:top w:val="none" w:sz="0" w:space="0" w:color="auto"/>
        <w:left w:val="none" w:sz="0" w:space="0" w:color="auto"/>
        <w:bottom w:val="none" w:sz="0" w:space="0" w:color="auto"/>
        <w:right w:val="none" w:sz="0" w:space="0" w:color="auto"/>
      </w:divBdr>
      <w:divsChild>
        <w:div w:id="1890216117">
          <w:marLeft w:val="0"/>
          <w:marRight w:val="0"/>
          <w:marTop w:val="0"/>
          <w:marBottom w:val="0"/>
          <w:divBdr>
            <w:top w:val="none" w:sz="0" w:space="0" w:color="auto"/>
            <w:left w:val="none" w:sz="0" w:space="0" w:color="auto"/>
            <w:bottom w:val="none" w:sz="0" w:space="0" w:color="auto"/>
            <w:right w:val="none" w:sz="0" w:space="0" w:color="auto"/>
          </w:divBdr>
          <w:divsChild>
            <w:div w:id="1873372330">
              <w:marLeft w:val="0"/>
              <w:marRight w:val="0"/>
              <w:marTop w:val="0"/>
              <w:marBottom w:val="0"/>
              <w:divBdr>
                <w:top w:val="none" w:sz="0" w:space="0" w:color="auto"/>
                <w:left w:val="none" w:sz="0" w:space="0" w:color="auto"/>
                <w:bottom w:val="none" w:sz="0" w:space="0" w:color="auto"/>
                <w:right w:val="none" w:sz="0" w:space="0" w:color="auto"/>
              </w:divBdr>
              <w:divsChild>
                <w:div w:id="100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15870">
      <w:bodyDiv w:val="1"/>
      <w:marLeft w:val="0"/>
      <w:marRight w:val="0"/>
      <w:marTop w:val="0"/>
      <w:marBottom w:val="0"/>
      <w:divBdr>
        <w:top w:val="none" w:sz="0" w:space="0" w:color="auto"/>
        <w:left w:val="none" w:sz="0" w:space="0" w:color="auto"/>
        <w:bottom w:val="none" w:sz="0" w:space="0" w:color="auto"/>
        <w:right w:val="none" w:sz="0" w:space="0" w:color="auto"/>
      </w:divBdr>
      <w:divsChild>
        <w:div w:id="160777522">
          <w:marLeft w:val="0"/>
          <w:marRight w:val="0"/>
          <w:marTop w:val="0"/>
          <w:marBottom w:val="0"/>
          <w:divBdr>
            <w:top w:val="none" w:sz="0" w:space="0" w:color="auto"/>
            <w:left w:val="none" w:sz="0" w:space="0" w:color="auto"/>
            <w:bottom w:val="none" w:sz="0" w:space="0" w:color="auto"/>
            <w:right w:val="none" w:sz="0" w:space="0" w:color="auto"/>
          </w:divBdr>
          <w:divsChild>
            <w:div w:id="1685982769">
              <w:marLeft w:val="0"/>
              <w:marRight w:val="0"/>
              <w:marTop w:val="0"/>
              <w:marBottom w:val="0"/>
              <w:divBdr>
                <w:top w:val="none" w:sz="0" w:space="0" w:color="auto"/>
                <w:left w:val="none" w:sz="0" w:space="0" w:color="auto"/>
                <w:bottom w:val="none" w:sz="0" w:space="0" w:color="auto"/>
                <w:right w:val="none" w:sz="0" w:space="0" w:color="auto"/>
              </w:divBdr>
              <w:divsChild>
                <w:div w:id="8797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1558">
      <w:bodyDiv w:val="1"/>
      <w:marLeft w:val="0"/>
      <w:marRight w:val="0"/>
      <w:marTop w:val="0"/>
      <w:marBottom w:val="0"/>
      <w:divBdr>
        <w:top w:val="none" w:sz="0" w:space="0" w:color="auto"/>
        <w:left w:val="none" w:sz="0" w:space="0" w:color="auto"/>
        <w:bottom w:val="none" w:sz="0" w:space="0" w:color="auto"/>
        <w:right w:val="none" w:sz="0" w:space="0" w:color="auto"/>
      </w:divBdr>
      <w:divsChild>
        <w:div w:id="2000883568">
          <w:marLeft w:val="480"/>
          <w:marRight w:val="0"/>
          <w:marTop w:val="0"/>
          <w:marBottom w:val="0"/>
          <w:divBdr>
            <w:top w:val="none" w:sz="0" w:space="0" w:color="auto"/>
            <w:left w:val="none" w:sz="0" w:space="0" w:color="auto"/>
            <w:bottom w:val="none" w:sz="0" w:space="0" w:color="auto"/>
            <w:right w:val="none" w:sz="0" w:space="0" w:color="auto"/>
          </w:divBdr>
          <w:divsChild>
            <w:div w:id="704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877">
      <w:bodyDiv w:val="1"/>
      <w:marLeft w:val="0"/>
      <w:marRight w:val="0"/>
      <w:marTop w:val="0"/>
      <w:marBottom w:val="0"/>
      <w:divBdr>
        <w:top w:val="none" w:sz="0" w:space="0" w:color="auto"/>
        <w:left w:val="none" w:sz="0" w:space="0" w:color="auto"/>
        <w:bottom w:val="none" w:sz="0" w:space="0" w:color="auto"/>
        <w:right w:val="none" w:sz="0" w:space="0" w:color="auto"/>
      </w:divBdr>
      <w:divsChild>
        <w:div w:id="306786535">
          <w:marLeft w:val="0"/>
          <w:marRight w:val="0"/>
          <w:marTop w:val="0"/>
          <w:marBottom w:val="0"/>
          <w:divBdr>
            <w:top w:val="none" w:sz="0" w:space="0" w:color="auto"/>
            <w:left w:val="none" w:sz="0" w:space="0" w:color="auto"/>
            <w:bottom w:val="none" w:sz="0" w:space="0" w:color="auto"/>
            <w:right w:val="none" w:sz="0" w:space="0" w:color="auto"/>
          </w:divBdr>
          <w:divsChild>
            <w:div w:id="2112704108">
              <w:marLeft w:val="0"/>
              <w:marRight w:val="0"/>
              <w:marTop w:val="0"/>
              <w:marBottom w:val="0"/>
              <w:divBdr>
                <w:top w:val="none" w:sz="0" w:space="0" w:color="auto"/>
                <w:left w:val="none" w:sz="0" w:space="0" w:color="auto"/>
                <w:bottom w:val="none" w:sz="0" w:space="0" w:color="auto"/>
                <w:right w:val="none" w:sz="0" w:space="0" w:color="auto"/>
              </w:divBdr>
              <w:divsChild>
                <w:div w:id="386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48474">
      <w:bodyDiv w:val="1"/>
      <w:marLeft w:val="0"/>
      <w:marRight w:val="0"/>
      <w:marTop w:val="0"/>
      <w:marBottom w:val="0"/>
      <w:divBdr>
        <w:top w:val="none" w:sz="0" w:space="0" w:color="auto"/>
        <w:left w:val="none" w:sz="0" w:space="0" w:color="auto"/>
        <w:bottom w:val="none" w:sz="0" w:space="0" w:color="auto"/>
        <w:right w:val="none" w:sz="0" w:space="0" w:color="auto"/>
      </w:divBdr>
      <w:divsChild>
        <w:div w:id="870192534">
          <w:marLeft w:val="0"/>
          <w:marRight w:val="0"/>
          <w:marTop w:val="0"/>
          <w:marBottom w:val="0"/>
          <w:divBdr>
            <w:top w:val="none" w:sz="0" w:space="0" w:color="auto"/>
            <w:left w:val="none" w:sz="0" w:space="0" w:color="auto"/>
            <w:bottom w:val="none" w:sz="0" w:space="0" w:color="auto"/>
            <w:right w:val="none" w:sz="0" w:space="0" w:color="auto"/>
          </w:divBdr>
          <w:divsChild>
            <w:div w:id="1149858138">
              <w:marLeft w:val="0"/>
              <w:marRight w:val="0"/>
              <w:marTop w:val="0"/>
              <w:marBottom w:val="0"/>
              <w:divBdr>
                <w:top w:val="none" w:sz="0" w:space="0" w:color="auto"/>
                <w:left w:val="none" w:sz="0" w:space="0" w:color="auto"/>
                <w:bottom w:val="none" w:sz="0" w:space="0" w:color="auto"/>
                <w:right w:val="none" w:sz="0" w:space="0" w:color="auto"/>
              </w:divBdr>
              <w:divsChild>
                <w:div w:id="335891046">
                  <w:marLeft w:val="0"/>
                  <w:marRight w:val="0"/>
                  <w:marTop w:val="0"/>
                  <w:marBottom w:val="0"/>
                  <w:divBdr>
                    <w:top w:val="none" w:sz="0" w:space="0" w:color="auto"/>
                    <w:left w:val="none" w:sz="0" w:space="0" w:color="auto"/>
                    <w:bottom w:val="none" w:sz="0" w:space="0" w:color="auto"/>
                    <w:right w:val="none" w:sz="0" w:space="0" w:color="auto"/>
                  </w:divBdr>
                  <w:divsChild>
                    <w:div w:id="4906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6439">
      <w:bodyDiv w:val="1"/>
      <w:marLeft w:val="0"/>
      <w:marRight w:val="0"/>
      <w:marTop w:val="0"/>
      <w:marBottom w:val="0"/>
      <w:divBdr>
        <w:top w:val="none" w:sz="0" w:space="0" w:color="auto"/>
        <w:left w:val="none" w:sz="0" w:space="0" w:color="auto"/>
        <w:bottom w:val="none" w:sz="0" w:space="0" w:color="auto"/>
        <w:right w:val="none" w:sz="0" w:space="0" w:color="auto"/>
      </w:divBdr>
      <w:divsChild>
        <w:div w:id="2011522263">
          <w:marLeft w:val="480"/>
          <w:marRight w:val="0"/>
          <w:marTop w:val="0"/>
          <w:marBottom w:val="0"/>
          <w:divBdr>
            <w:top w:val="none" w:sz="0" w:space="0" w:color="auto"/>
            <w:left w:val="none" w:sz="0" w:space="0" w:color="auto"/>
            <w:bottom w:val="none" w:sz="0" w:space="0" w:color="auto"/>
            <w:right w:val="none" w:sz="0" w:space="0" w:color="auto"/>
          </w:divBdr>
          <w:divsChild>
            <w:div w:id="902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366">
      <w:bodyDiv w:val="1"/>
      <w:marLeft w:val="0"/>
      <w:marRight w:val="0"/>
      <w:marTop w:val="0"/>
      <w:marBottom w:val="0"/>
      <w:divBdr>
        <w:top w:val="none" w:sz="0" w:space="0" w:color="auto"/>
        <w:left w:val="none" w:sz="0" w:space="0" w:color="auto"/>
        <w:bottom w:val="none" w:sz="0" w:space="0" w:color="auto"/>
        <w:right w:val="none" w:sz="0" w:space="0" w:color="auto"/>
      </w:divBdr>
    </w:div>
    <w:div w:id="1111390774">
      <w:bodyDiv w:val="1"/>
      <w:marLeft w:val="0"/>
      <w:marRight w:val="0"/>
      <w:marTop w:val="0"/>
      <w:marBottom w:val="0"/>
      <w:divBdr>
        <w:top w:val="none" w:sz="0" w:space="0" w:color="auto"/>
        <w:left w:val="none" w:sz="0" w:space="0" w:color="auto"/>
        <w:bottom w:val="none" w:sz="0" w:space="0" w:color="auto"/>
        <w:right w:val="none" w:sz="0" w:space="0" w:color="auto"/>
      </w:divBdr>
      <w:divsChild>
        <w:div w:id="1402824369">
          <w:marLeft w:val="0"/>
          <w:marRight w:val="0"/>
          <w:marTop w:val="0"/>
          <w:marBottom w:val="0"/>
          <w:divBdr>
            <w:top w:val="none" w:sz="0" w:space="0" w:color="auto"/>
            <w:left w:val="none" w:sz="0" w:space="0" w:color="auto"/>
            <w:bottom w:val="none" w:sz="0" w:space="0" w:color="auto"/>
            <w:right w:val="none" w:sz="0" w:space="0" w:color="auto"/>
          </w:divBdr>
          <w:divsChild>
            <w:div w:id="1907911683">
              <w:marLeft w:val="0"/>
              <w:marRight w:val="0"/>
              <w:marTop w:val="0"/>
              <w:marBottom w:val="0"/>
              <w:divBdr>
                <w:top w:val="none" w:sz="0" w:space="0" w:color="auto"/>
                <w:left w:val="none" w:sz="0" w:space="0" w:color="auto"/>
                <w:bottom w:val="none" w:sz="0" w:space="0" w:color="auto"/>
                <w:right w:val="none" w:sz="0" w:space="0" w:color="auto"/>
              </w:divBdr>
              <w:divsChild>
                <w:div w:id="12422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98484">
      <w:bodyDiv w:val="1"/>
      <w:marLeft w:val="0"/>
      <w:marRight w:val="0"/>
      <w:marTop w:val="0"/>
      <w:marBottom w:val="0"/>
      <w:divBdr>
        <w:top w:val="none" w:sz="0" w:space="0" w:color="auto"/>
        <w:left w:val="none" w:sz="0" w:space="0" w:color="auto"/>
        <w:bottom w:val="none" w:sz="0" w:space="0" w:color="auto"/>
        <w:right w:val="none" w:sz="0" w:space="0" w:color="auto"/>
      </w:divBdr>
      <w:divsChild>
        <w:div w:id="1854612117">
          <w:marLeft w:val="480"/>
          <w:marRight w:val="0"/>
          <w:marTop w:val="0"/>
          <w:marBottom w:val="0"/>
          <w:divBdr>
            <w:top w:val="none" w:sz="0" w:space="0" w:color="auto"/>
            <w:left w:val="none" w:sz="0" w:space="0" w:color="auto"/>
            <w:bottom w:val="none" w:sz="0" w:space="0" w:color="auto"/>
            <w:right w:val="none" w:sz="0" w:space="0" w:color="auto"/>
          </w:divBdr>
          <w:divsChild>
            <w:div w:id="16600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637">
      <w:bodyDiv w:val="1"/>
      <w:marLeft w:val="0"/>
      <w:marRight w:val="0"/>
      <w:marTop w:val="0"/>
      <w:marBottom w:val="0"/>
      <w:divBdr>
        <w:top w:val="none" w:sz="0" w:space="0" w:color="auto"/>
        <w:left w:val="none" w:sz="0" w:space="0" w:color="auto"/>
        <w:bottom w:val="none" w:sz="0" w:space="0" w:color="auto"/>
        <w:right w:val="none" w:sz="0" w:space="0" w:color="auto"/>
      </w:divBdr>
      <w:divsChild>
        <w:div w:id="1876116657">
          <w:marLeft w:val="0"/>
          <w:marRight w:val="0"/>
          <w:marTop w:val="0"/>
          <w:marBottom w:val="0"/>
          <w:divBdr>
            <w:top w:val="none" w:sz="0" w:space="0" w:color="auto"/>
            <w:left w:val="none" w:sz="0" w:space="0" w:color="auto"/>
            <w:bottom w:val="none" w:sz="0" w:space="0" w:color="auto"/>
            <w:right w:val="none" w:sz="0" w:space="0" w:color="auto"/>
          </w:divBdr>
          <w:divsChild>
            <w:div w:id="1196231170">
              <w:marLeft w:val="0"/>
              <w:marRight w:val="0"/>
              <w:marTop w:val="0"/>
              <w:marBottom w:val="0"/>
              <w:divBdr>
                <w:top w:val="none" w:sz="0" w:space="0" w:color="auto"/>
                <w:left w:val="none" w:sz="0" w:space="0" w:color="auto"/>
                <w:bottom w:val="none" w:sz="0" w:space="0" w:color="auto"/>
                <w:right w:val="none" w:sz="0" w:space="0" w:color="auto"/>
              </w:divBdr>
              <w:divsChild>
                <w:div w:id="449787292">
                  <w:marLeft w:val="0"/>
                  <w:marRight w:val="0"/>
                  <w:marTop w:val="0"/>
                  <w:marBottom w:val="0"/>
                  <w:divBdr>
                    <w:top w:val="none" w:sz="0" w:space="0" w:color="auto"/>
                    <w:left w:val="none" w:sz="0" w:space="0" w:color="auto"/>
                    <w:bottom w:val="none" w:sz="0" w:space="0" w:color="auto"/>
                    <w:right w:val="none" w:sz="0" w:space="0" w:color="auto"/>
                  </w:divBdr>
                  <w:divsChild>
                    <w:div w:id="17480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6249">
      <w:bodyDiv w:val="1"/>
      <w:marLeft w:val="0"/>
      <w:marRight w:val="0"/>
      <w:marTop w:val="0"/>
      <w:marBottom w:val="0"/>
      <w:divBdr>
        <w:top w:val="none" w:sz="0" w:space="0" w:color="auto"/>
        <w:left w:val="none" w:sz="0" w:space="0" w:color="auto"/>
        <w:bottom w:val="none" w:sz="0" w:space="0" w:color="auto"/>
        <w:right w:val="none" w:sz="0" w:space="0" w:color="auto"/>
      </w:divBdr>
      <w:divsChild>
        <w:div w:id="1151365374">
          <w:marLeft w:val="480"/>
          <w:marRight w:val="0"/>
          <w:marTop w:val="0"/>
          <w:marBottom w:val="0"/>
          <w:divBdr>
            <w:top w:val="none" w:sz="0" w:space="0" w:color="auto"/>
            <w:left w:val="none" w:sz="0" w:space="0" w:color="auto"/>
            <w:bottom w:val="none" w:sz="0" w:space="0" w:color="auto"/>
            <w:right w:val="none" w:sz="0" w:space="0" w:color="auto"/>
          </w:divBdr>
          <w:divsChild>
            <w:div w:id="20296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862">
      <w:bodyDiv w:val="1"/>
      <w:marLeft w:val="0"/>
      <w:marRight w:val="0"/>
      <w:marTop w:val="0"/>
      <w:marBottom w:val="0"/>
      <w:divBdr>
        <w:top w:val="none" w:sz="0" w:space="0" w:color="auto"/>
        <w:left w:val="none" w:sz="0" w:space="0" w:color="auto"/>
        <w:bottom w:val="none" w:sz="0" w:space="0" w:color="auto"/>
        <w:right w:val="none" w:sz="0" w:space="0" w:color="auto"/>
      </w:divBdr>
      <w:divsChild>
        <w:div w:id="2118476713">
          <w:marLeft w:val="0"/>
          <w:marRight w:val="0"/>
          <w:marTop w:val="0"/>
          <w:marBottom w:val="0"/>
          <w:divBdr>
            <w:top w:val="none" w:sz="0" w:space="0" w:color="auto"/>
            <w:left w:val="none" w:sz="0" w:space="0" w:color="auto"/>
            <w:bottom w:val="none" w:sz="0" w:space="0" w:color="auto"/>
            <w:right w:val="none" w:sz="0" w:space="0" w:color="auto"/>
          </w:divBdr>
          <w:divsChild>
            <w:div w:id="1188104900">
              <w:marLeft w:val="0"/>
              <w:marRight w:val="0"/>
              <w:marTop w:val="0"/>
              <w:marBottom w:val="0"/>
              <w:divBdr>
                <w:top w:val="none" w:sz="0" w:space="0" w:color="auto"/>
                <w:left w:val="none" w:sz="0" w:space="0" w:color="auto"/>
                <w:bottom w:val="none" w:sz="0" w:space="0" w:color="auto"/>
                <w:right w:val="none" w:sz="0" w:space="0" w:color="auto"/>
              </w:divBdr>
              <w:divsChild>
                <w:div w:id="258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1116">
      <w:bodyDiv w:val="1"/>
      <w:marLeft w:val="0"/>
      <w:marRight w:val="0"/>
      <w:marTop w:val="0"/>
      <w:marBottom w:val="0"/>
      <w:divBdr>
        <w:top w:val="none" w:sz="0" w:space="0" w:color="auto"/>
        <w:left w:val="none" w:sz="0" w:space="0" w:color="auto"/>
        <w:bottom w:val="none" w:sz="0" w:space="0" w:color="auto"/>
        <w:right w:val="none" w:sz="0" w:space="0" w:color="auto"/>
      </w:divBdr>
      <w:divsChild>
        <w:div w:id="2057578104">
          <w:marLeft w:val="0"/>
          <w:marRight w:val="0"/>
          <w:marTop w:val="0"/>
          <w:marBottom w:val="0"/>
          <w:divBdr>
            <w:top w:val="none" w:sz="0" w:space="0" w:color="auto"/>
            <w:left w:val="none" w:sz="0" w:space="0" w:color="auto"/>
            <w:bottom w:val="none" w:sz="0" w:space="0" w:color="auto"/>
            <w:right w:val="none" w:sz="0" w:space="0" w:color="auto"/>
          </w:divBdr>
          <w:divsChild>
            <w:div w:id="1101340340">
              <w:marLeft w:val="0"/>
              <w:marRight w:val="0"/>
              <w:marTop w:val="0"/>
              <w:marBottom w:val="0"/>
              <w:divBdr>
                <w:top w:val="none" w:sz="0" w:space="0" w:color="auto"/>
                <w:left w:val="none" w:sz="0" w:space="0" w:color="auto"/>
                <w:bottom w:val="none" w:sz="0" w:space="0" w:color="auto"/>
                <w:right w:val="none" w:sz="0" w:space="0" w:color="auto"/>
              </w:divBdr>
              <w:divsChild>
                <w:div w:id="18922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6901">
      <w:bodyDiv w:val="1"/>
      <w:marLeft w:val="0"/>
      <w:marRight w:val="0"/>
      <w:marTop w:val="0"/>
      <w:marBottom w:val="0"/>
      <w:divBdr>
        <w:top w:val="none" w:sz="0" w:space="0" w:color="auto"/>
        <w:left w:val="none" w:sz="0" w:space="0" w:color="auto"/>
        <w:bottom w:val="none" w:sz="0" w:space="0" w:color="auto"/>
        <w:right w:val="none" w:sz="0" w:space="0" w:color="auto"/>
      </w:divBdr>
      <w:divsChild>
        <w:div w:id="269819078">
          <w:marLeft w:val="0"/>
          <w:marRight w:val="0"/>
          <w:marTop w:val="0"/>
          <w:marBottom w:val="0"/>
          <w:divBdr>
            <w:top w:val="none" w:sz="0" w:space="0" w:color="auto"/>
            <w:left w:val="none" w:sz="0" w:space="0" w:color="auto"/>
            <w:bottom w:val="none" w:sz="0" w:space="0" w:color="auto"/>
            <w:right w:val="none" w:sz="0" w:space="0" w:color="auto"/>
          </w:divBdr>
          <w:divsChild>
            <w:div w:id="1528446544">
              <w:marLeft w:val="0"/>
              <w:marRight w:val="0"/>
              <w:marTop w:val="0"/>
              <w:marBottom w:val="0"/>
              <w:divBdr>
                <w:top w:val="none" w:sz="0" w:space="0" w:color="auto"/>
                <w:left w:val="none" w:sz="0" w:space="0" w:color="auto"/>
                <w:bottom w:val="none" w:sz="0" w:space="0" w:color="auto"/>
                <w:right w:val="none" w:sz="0" w:space="0" w:color="auto"/>
              </w:divBdr>
              <w:divsChild>
                <w:div w:id="8614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136/ebmed-2016-110401" TargetMode="External"/><Relationship Id="rId13" Type="http://schemas.openxmlformats.org/officeDocument/2006/relationships/hyperlink" Target="https://doi.org/10.1192/pb.bp.112.042382" TargetMode="External"/><Relationship Id="rId18" Type="http://schemas.openxmlformats.org/officeDocument/2006/relationships/hyperlink" Target="https://doi.org/10.1016/j.jclinepi.2015.10.001" TargetMode="External"/><Relationship Id="rId3" Type="http://schemas.openxmlformats.org/officeDocument/2006/relationships/hyperlink" Target="https://doi.org/10.1145/3383583.3398514" TargetMode="External"/><Relationship Id="rId7" Type="http://schemas.openxmlformats.org/officeDocument/2006/relationships/hyperlink" Target="https://doi.org/10.5771/0943-7444-2017-5-349" TargetMode="External"/><Relationship Id="rId12" Type="http://schemas.openxmlformats.org/officeDocument/2006/relationships/hyperlink" Target="https://doi.org/10.1192/pb.bp.112.042382" TargetMode="External"/><Relationship Id="rId17" Type="http://schemas.openxmlformats.org/officeDocument/2006/relationships/hyperlink" Target="http://ceur-ws.org/Vol-1341/paper14.pdf" TargetMode="External"/><Relationship Id="rId2" Type="http://schemas.openxmlformats.org/officeDocument/2006/relationships/hyperlink" Target="https://doi.org/10.1145/3383583.3398514" TargetMode="External"/><Relationship Id="rId16" Type="http://schemas.openxmlformats.org/officeDocument/2006/relationships/hyperlink" Target="http://ceur-ws.org/Vol-1341/paper14.pdf" TargetMode="External"/><Relationship Id="rId20" Type="http://schemas.openxmlformats.org/officeDocument/2006/relationships/hyperlink" Target="https://doi.org/10.1016/j.jclinepi.2015.10.001" TargetMode="External"/><Relationship Id="rId1" Type="http://schemas.openxmlformats.org/officeDocument/2006/relationships/hyperlink" Target="https://doi.org/10.1145/3383583.3398514" TargetMode="External"/><Relationship Id="rId6" Type="http://schemas.openxmlformats.org/officeDocument/2006/relationships/hyperlink" Target="https://doi.org/10.5771/0943-7444-2017-5-349" TargetMode="External"/><Relationship Id="rId11" Type="http://schemas.openxmlformats.org/officeDocument/2006/relationships/hyperlink" Target="https://doi.org/10.1186/s12911-017-0419-3" TargetMode="External"/><Relationship Id="rId5" Type="http://schemas.openxmlformats.org/officeDocument/2006/relationships/hyperlink" Target="https://doi.org/10.5771/0943-7444-2017-5-349" TargetMode="External"/><Relationship Id="rId15" Type="http://schemas.openxmlformats.org/officeDocument/2006/relationships/hyperlink" Target="http://ceur-ws.org/Vol-1341/paper14.pdf" TargetMode="External"/><Relationship Id="rId10" Type="http://schemas.openxmlformats.org/officeDocument/2006/relationships/hyperlink" Target="https://doi.org/10.1136/ebmed-2016-110401" TargetMode="External"/><Relationship Id="rId19" Type="http://schemas.openxmlformats.org/officeDocument/2006/relationships/hyperlink" Target="https://doi.org/10.1016/j.jclinepi.2015.10.001" TargetMode="External"/><Relationship Id="rId4" Type="http://schemas.openxmlformats.org/officeDocument/2006/relationships/hyperlink" Target="https://doi.org/10.2196/11182" TargetMode="External"/><Relationship Id="rId9" Type="http://schemas.openxmlformats.org/officeDocument/2006/relationships/hyperlink" Target="https://doi.org/10.1136/ebmed-2016-110401" TargetMode="External"/><Relationship Id="rId14" Type="http://schemas.openxmlformats.org/officeDocument/2006/relationships/hyperlink" Target="https://doi.org/10.1192/pb.bp.112.04238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doi.org/10.1016/j.joi.2016.11.001"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doi.org/10.1016/j.joi.2018.03.00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192-019-03016-z" TargetMode="External"/><Relationship Id="rId11" Type="http://schemas.microsoft.com/office/2016/09/relationships/commentsIds" Target="commentsIds.xml"/><Relationship Id="rId5" Type="http://schemas.openxmlformats.org/officeDocument/2006/relationships/hyperlink" Target="https://doi.org/10.1177/030631277800800305"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4625</Words>
  <Characters>26364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Schneider</dc:creator>
  <cp:keywords/>
  <dc:description/>
  <cp:lastModifiedBy>Jodi Schneider</cp:lastModifiedBy>
  <cp:revision>18</cp:revision>
  <dcterms:created xsi:type="dcterms:W3CDTF">2020-02-24T16:13:00Z</dcterms:created>
  <dcterms:modified xsi:type="dcterms:W3CDTF">2020-10-05T19:32:00Z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id="79BUauJf"/&gt;&lt;style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