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2E65" w:rsidRDefault="00B20875">
      <w:r>
        <w:rPr>
          <w:b/>
        </w:rPr>
        <w:t>Tec(h)tonic Race and Ethnicity: Conceptual Structuration of Census Data</w:t>
      </w:r>
    </w:p>
    <w:p w14:paraId="00000002" w14:textId="77777777" w:rsidR="00252E65" w:rsidRDefault="00B20875">
      <w:r>
        <w:t>Joseph T. Tennis</w:t>
      </w:r>
    </w:p>
    <w:p w14:paraId="00000003" w14:textId="77777777" w:rsidR="00252E65" w:rsidRDefault="00B20875">
      <w:r>
        <w:t>University of Washington Information School</w:t>
      </w:r>
    </w:p>
    <w:p w14:paraId="00000004" w14:textId="77777777" w:rsidR="00252E65" w:rsidRDefault="00252E65"/>
    <w:p w14:paraId="00000005" w14:textId="77777777" w:rsidR="00252E65" w:rsidRDefault="00B20875">
      <w:r>
        <w:t>In her 2008 “Ethnic Classification in Global Perspective: A Cross-National Survey of the 2000 Census Round”, Ann Morning describes how different national census instruments construct race and ethnicity.  In this large comparative study, we see how governme</w:t>
      </w:r>
      <w:r>
        <w:t xml:space="preserve">nts construct the concept of race and ethnicity, focusing on the </w:t>
      </w:r>
      <w:r>
        <w:rPr>
          <w:i/>
        </w:rPr>
        <w:t>known</w:t>
      </w:r>
      <w:r>
        <w:t xml:space="preserve"> and then moving to residuality (Star and Bowker, 2007), incommensurability (Olson, 2001), and caveats.  </w:t>
      </w:r>
    </w:p>
    <w:p w14:paraId="00000006" w14:textId="77777777" w:rsidR="00252E65" w:rsidRDefault="00252E65"/>
    <w:p w14:paraId="00000007" w14:textId="77777777" w:rsidR="00252E65" w:rsidRDefault="00B20875">
      <w:r>
        <w:t xml:space="preserve">There are two ways we can examine this as a lesson for classification theory.  </w:t>
      </w:r>
      <w:r>
        <w:t xml:space="preserve">First, we can examine the construction of the concept of race and ethnicity - either combined or separated.  Secondly, we can examine, comparatively, across these census categories.  Both of these approaches are techniques in what has been called </w:t>
      </w:r>
      <w:proofErr w:type="spellStart"/>
      <w:r>
        <w:rPr>
          <w:i/>
        </w:rPr>
        <w:t>categorio</w:t>
      </w:r>
      <w:r>
        <w:rPr>
          <w:i/>
        </w:rPr>
        <w:t>graphy</w:t>
      </w:r>
      <w:proofErr w:type="spellEnd"/>
      <w:r>
        <w:rPr>
          <w:i/>
        </w:rPr>
        <w:t xml:space="preserve"> </w:t>
      </w:r>
      <w:r>
        <w:t xml:space="preserve">(Tennis, 2018).  </w:t>
      </w:r>
      <w:proofErr w:type="spellStart"/>
      <w:r>
        <w:t>Categoriography</w:t>
      </w:r>
      <w:proofErr w:type="spellEnd"/>
      <w:r>
        <w:t xml:space="preserve"> is the </w:t>
      </w:r>
      <w:r>
        <w:rPr>
          <w:i/>
        </w:rPr>
        <w:t xml:space="preserve">writing of the life </w:t>
      </w:r>
      <w:r>
        <w:t xml:space="preserve">of a category.  In this case we have a few.  This approach to studying concepts is inspired by history of ideas, intellectual history, and ethnography.  </w:t>
      </w:r>
    </w:p>
    <w:p w14:paraId="00000008" w14:textId="77777777" w:rsidR="00252E65" w:rsidRDefault="00252E65"/>
    <w:p w14:paraId="00000009" w14:textId="77777777" w:rsidR="00252E65" w:rsidRDefault="00B20875">
      <w:r>
        <w:t>In the case of the race and ethnic</w:t>
      </w:r>
      <w:r>
        <w:t xml:space="preserve">ity in the Morning paper, or as she puts it, </w:t>
      </w:r>
      <w:r>
        <w:rPr>
          <w:i/>
        </w:rPr>
        <w:t>ethnic enumeration</w:t>
      </w:r>
      <w:r>
        <w:t>, we can make three preliminary observations.  First, there is no one characteristic of division applied in creating the classes of ethnic enumeration.  This is not surprising given the varieti</w:t>
      </w:r>
      <w:r>
        <w:t>es of motivation for this practice (more on this below).  There is an interesting tension between faithful representation and too many or too few groups.  Finally, as alluded to above, there is a sense that, in many of the cases of ethnic enumeration in th</w:t>
      </w:r>
      <w:r>
        <w:t>e Morning article, the designers move from the known to at least three other kinds of categories.  This landscape is interesting for classification theory, because it moves our understanding of the conceptual models forward into a practice we have nodded t</w:t>
      </w:r>
      <w:r>
        <w:t>o, but never embraced.  Related to this structural point of divergence, we can also see novel motivations for the inclusion or exclusion of classes in ethnic enumeration.</w:t>
      </w:r>
    </w:p>
    <w:p w14:paraId="0000000A" w14:textId="77777777" w:rsidR="00252E65" w:rsidRDefault="00252E65"/>
    <w:p w14:paraId="0000000B" w14:textId="77777777" w:rsidR="00252E65" w:rsidRDefault="00B20875">
      <w:r>
        <w:t xml:space="preserve">Morning cites four motivations for ethnic enumeration. </w:t>
      </w:r>
    </w:p>
    <w:p w14:paraId="0000000C" w14:textId="77777777" w:rsidR="00252E65" w:rsidRDefault="00B20875">
      <w:pPr>
        <w:numPr>
          <w:ilvl w:val="0"/>
          <w:numId w:val="1"/>
        </w:numPr>
      </w:pPr>
      <w:r>
        <w:t>Enumeration for political co</w:t>
      </w:r>
      <w:r>
        <w:t>ntrol</w:t>
      </w:r>
    </w:p>
    <w:p w14:paraId="0000000D" w14:textId="77777777" w:rsidR="00252E65" w:rsidRDefault="00B20875">
      <w:pPr>
        <w:numPr>
          <w:ilvl w:val="0"/>
          <w:numId w:val="1"/>
        </w:numPr>
      </w:pPr>
      <w:r>
        <w:t>Non-enumeration in the name of national integration</w:t>
      </w:r>
    </w:p>
    <w:p w14:paraId="0000000E" w14:textId="77777777" w:rsidR="00252E65" w:rsidRDefault="00B20875">
      <w:pPr>
        <w:numPr>
          <w:ilvl w:val="0"/>
          <w:numId w:val="1"/>
        </w:numPr>
      </w:pPr>
      <w:r>
        <w:t>Discourse of national hybridity</w:t>
      </w:r>
    </w:p>
    <w:p w14:paraId="0000000F" w14:textId="77777777" w:rsidR="00252E65" w:rsidRDefault="00B20875">
      <w:pPr>
        <w:numPr>
          <w:ilvl w:val="0"/>
          <w:numId w:val="1"/>
        </w:numPr>
      </w:pPr>
      <w:r>
        <w:t>Enumeration for antidiscrimination</w:t>
      </w:r>
    </w:p>
    <w:p w14:paraId="00000010" w14:textId="77777777" w:rsidR="00252E65" w:rsidRDefault="00252E65"/>
    <w:p w14:paraId="00000011" w14:textId="77777777" w:rsidR="00252E65" w:rsidRDefault="00B20875">
      <w:r>
        <w:t xml:space="preserve">Reading this with a lens drawn from classification theory allows for a </w:t>
      </w:r>
      <w:proofErr w:type="spellStart"/>
      <w:r>
        <w:t>Feinbergian</w:t>
      </w:r>
      <w:proofErr w:type="spellEnd"/>
      <w:r>
        <w:t xml:space="preserve"> analysis of race and ethnicity and its example </w:t>
      </w:r>
      <w:r>
        <w:t xml:space="preserve">classes.  That is, we are motivated by a particular argument or arguments to model race and ethnicity in the geopolitical arena.  This reinforces or at least partially justifies the structural observations above.  </w:t>
      </w:r>
    </w:p>
    <w:p w14:paraId="00000012" w14:textId="77777777" w:rsidR="00252E65" w:rsidRDefault="00252E65"/>
    <w:p w14:paraId="00000013" w14:textId="0DE8DE67" w:rsidR="00252E65" w:rsidRDefault="00B20875">
      <w:r>
        <w:t>In this paper I will provide a set of ca</w:t>
      </w:r>
      <w:r>
        <w:t xml:space="preserve">ses that allow me to demonstrate the value of this approach in the milieu of conceptual modeling and the novelty of this approach to advancing classification theory.  We might see this </w:t>
      </w:r>
      <w:proofErr w:type="spellStart"/>
      <w:r>
        <w:t>categoriographic</w:t>
      </w:r>
      <w:proofErr w:type="spellEnd"/>
      <w:r>
        <w:t xml:space="preserve"> work </w:t>
      </w:r>
      <w:r>
        <w:t xml:space="preserve">as a map of potential divisions of </w:t>
      </w:r>
      <w:r>
        <w:lastRenderedPageBreak/>
        <w:t>the concept of race and ethnicity wh</w:t>
      </w:r>
      <w:r>
        <w:t xml:space="preserve">ich is split along variable tectonic schisms and as a technology of the state, motivated by a particular narrative.  </w:t>
      </w:r>
      <w:proofErr w:type="gramStart"/>
      <w:r>
        <w:t>Thus</w:t>
      </w:r>
      <w:proofErr w:type="gramEnd"/>
      <w:r>
        <w:t xml:space="preserve"> a tec(h)tonic of race and ethnicity.  </w:t>
      </w:r>
      <w:r>
        <w:t xml:space="preserve">Both of these views </w:t>
      </w:r>
      <w:r>
        <w:t>lend</w:t>
      </w:r>
      <w:r>
        <w:t xml:space="preserve"> us insight into classification practices. </w:t>
      </w:r>
    </w:p>
    <w:p w14:paraId="00000014" w14:textId="77777777" w:rsidR="00252E65" w:rsidRDefault="00252E65"/>
    <w:p w14:paraId="00000015" w14:textId="77777777" w:rsidR="00252E65" w:rsidRDefault="00B20875">
      <w:r>
        <w:rPr>
          <w:b/>
        </w:rPr>
        <w:t>References</w:t>
      </w:r>
    </w:p>
    <w:p w14:paraId="00000016" w14:textId="77777777" w:rsidR="00252E65" w:rsidRDefault="00B20875">
      <w:r>
        <w:t>Morning, A. (2008). “Ethnic Classification in Global Perspective: A Cro</w:t>
      </w:r>
      <w:r>
        <w:t xml:space="preserve">ss-National Survey of the 2000 Census Round.”  </w:t>
      </w:r>
      <w:r>
        <w:rPr>
          <w:i/>
        </w:rPr>
        <w:t xml:space="preserve">Population Research and Policy Review </w:t>
      </w:r>
      <w:r>
        <w:t>27(2): 239-272.</w:t>
      </w:r>
    </w:p>
    <w:p w14:paraId="00000017" w14:textId="77777777" w:rsidR="00252E65" w:rsidRDefault="00252E65"/>
    <w:p w14:paraId="00000018" w14:textId="77777777" w:rsidR="00252E65" w:rsidRDefault="00B20875">
      <w:r>
        <w:t xml:space="preserve">Olson, H. (2001). “Patriarchal Structures of Subject Access and Subversive </w:t>
      </w:r>
      <w:r>
        <w:rPr>
          <w:i/>
        </w:rPr>
        <w:t>Techniques</w:t>
      </w:r>
      <w:r>
        <w:t xml:space="preserve"> for Change.”  </w:t>
      </w:r>
      <w:r>
        <w:rPr>
          <w:i/>
        </w:rPr>
        <w:t>The Canadian Journal of Information and Library Scienc</w:t>
      </w:r>
      <w:r>
        <w:rPr>
          <w:i/>
        </w:rPr>
        <w:t xml:space="preserve">e </w:t>
      </w:r>
      <w:r>
        <w:t>26(2/3): 1-29.</w:t>
      </w:r>
    </w:p>
    <w:p w14:paraId="00000019" w14:textId="77777777" w:rsidR="00252E65" w:rsidRDefault="00252E65"/>
    <w:p w14:paraId="0000001A" w14:textId="77777777" w:rsidR="00252E65" w:rsidRDefault="00B20875">
      <w:r>
        <w:t xml:space="preserve">Star, Susan Leigh, and Geoffrey Bowker. 2007. “Enacting silence: Residual categories as a challenge for ethics, information systems, and communication.” </w:t>
      </w:r>
      <w:r>
        <w:rPr>
          <w:i/>
        </w:rPr>
        <w:t>Ethics and Information Technology</w:t>
      </w:r>
      <w:r>
        <w:t xml:space="preserve"> 9: 273–280. https://doi.org/10.1007/s10676-007-9141</w:t>
      </w:r>
      <w:r>
        <w:t>-7</w:t>
      </w:r>
    </w:p>
    <w:p w14:paraId="0000001B" w14:textId="77777777" w:rsidR="00252E65" w:rsidRDefault="00252E65"/>
    <w:p w14:paraId="0000001C" w14:textId="77777777" w:rsidR="00252E65" w:rsidRDefault="00B20875">
      <w:r>
        <w:t xml:space="preserve">Tennis, J. T. (2018). "Intellectual History, History of Ideas, and Subject Ontogeny." (2018). </w:t>
      </w:r>
      <w:r>
        <w:rPr>
          <w:i/>
        </w:rPr>
        <w:t>Challenges and Opportunities for Knowledge Organization in the Digital Age. Proceedings of the 15th International ISKO Conference 9-11 July 2018, Porto, Portu</w:t>
      </w:r>
      <w:r>
        <w:rPr>
          <w:i/>
        </w:rPr>
        <w:t xml:space="preserve">gal. </w:t>
      </w:r>
      <w:r>
        <w:t>Advances in Knowledge Organization, Vol 16. 308-313.</w:t>
      </w:r>
    </w:p>
    <w:sectPr w:rsidR="00252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05681"/>
    <w:multiLevelType w:val="multilevel"/>
    <w:tmpl w:val="BCD24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65"/>
    <w:rsid w:val="002326AE"/>
    <w:rsid w:val="00252E65"/>
    <w:rsid w:val="00B2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8BF25"/>
  <w15:docId w15:val="{93D3C575-3793-DE42-BB9B-A464F61F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T Tennis</cp:lastModifiedBy>
  <cp:revision>3</cp:revision>
  <dcterms:created xsi:type="dcterms:W3CDTF">2020-10-01T17:22:00Z</dcterms:created>
  <dcterms:modified xsi:type="dcterms:W3CDTF">2020-10-01T17:23:00Z</dcterms:modified>
</cp:coreProperties>
</file>