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1. Timeline of clinical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D9EAF7"/>
          </w:tcPr>
          <w:p>
            <w:pPr>
              <w:spacing w:line="276" w:lineRule="auto" w:after="60"/>
            </w:pPr>
            <w:r>
              <w:rPr>
                <w:b/>
              </w:rPr>
              <w:t>Date/period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line="276" w:lineRule="auto" w:after="60"/>
            </w:pPr>
            <w:r>
              <w:rPr>
                <w:b/>
              </w:rPr>
              <w:t>Clinical event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June 25–27, 2026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Outside evaluation for abdominal pain showed left ureteral stone and incidental right renal/retroperitoneal masses. Hospital contrast CT identified an enhancing renal nodule and a large low-attenuation septated mass, provisionally interpreted as cystic. Further preoperative biopsy was declined after discussion; partial nephrectomy was planned.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July 1, 2026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Laparoscopic exploration revealed a large densely adherent mass. Attempted fine-needle aspiration yielded no fluid; concern for a solid lesion prompted revision to radical nephrectomy and retroperitoneal tumor resection. Left ureteroscopic lithotripsy and stenting were performed concurrently.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July–September 2026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Supplementary reports diagnosed DDLPS with focal cartilaginous differentiation and superficial renal involvement; MDM2 FISH ratio 11.77. Later report assigned histological grade III; grading system unspecified.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3 months after surgery</w:t>
            </w:r>
          </w:p>
        </w:tc>
        <w:tc>
          <w:tcPr>
            <w:tcW w:type="dxa" w:w="4680"/>
            <w:vAlign w:val="center"/>
          </w:tcPr>
          <w:p>
            <w:pPr>
              <w:spacing w:line="276" w:lineRule="auto" w:after="60"/>
            </w:pPr>
            <w:r>
              <w:t>Adjuvant chemotherapy was administered. Abdominal CT showed no evidence of recurrence. Long-term outcome remains undetermined.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65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