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 Checklist for Case Reports</w:t>
      </w:r>
    </w:p>
    <w:p>
      <w:pPr>
        <w:jc w:val="center"/>
      </w:pPr>
      <w:r>
        <w:rPr>
          <w:i/>
        </w:rPr>
        <w:t>Completed for the BMC Urology submission</w:t>
      </w:r>
    </w:p>
    <w:p>
      <w:r>
        <w:t>Manuscript title: Solid perirenal dedifferentiated liposarcoma mimicking a cystic mass adjacent to an enhancing renal nodule: a case report</w:t>
      </w:r>
    </w:p>
    <w:p>
      <w:r>
        <w:t>This checklist maps the manuscript to the CARE reporting items. Items marked as requiring confirmation should be completed before submission if the information is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CARE requirement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Location in manuscript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Status / comment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Title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The diagnosis or intervention is the primary focus followed by “case report”.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Title page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Keywords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Provide 2–5 keywords, including “case report”.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Title page / Keywords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Reported; 5 keywords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3a–d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Abstract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State what is unique; symptoms/findings; diagnoses, interventions and outcomes; take-away lesson.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Abstract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Introduction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Brief background with relevant medical literature.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Background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5a–d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Patient information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De-identified demographics, concerns/symptoms, medical/family/psychosocial history, and relevant prior interventions.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Case presentation – Patient information and diagnostic assessment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Partly reported; psychosocial history not available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Clinical findings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Describe relevant physical examination and clinical findings.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Case presentation – Patient information and diagnostic assessment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Timeline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Organize historical and current episode information as a timeline.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Timeline (Table 1)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8a–d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Diagnostic assessment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Diagnostic methods, challenges, differential diagnosis, and prognostic characteristics where applicable.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Case presentation – Diagnostic assessment; Discussion and conclusions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Reported; staging/grading details require confirmation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9a–c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Therapeutic intervention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Types of intervention, administration, and changes with rationale.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Case presentation – Therapeutic intervention and operative findings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Surgery reported; chemotherapy regimen/cycles not available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10a–d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Follow-up and outcomes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Clinician- and patient-assessed outcomes, follow-up tests, adherence/tolerability, and adverse events.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Case presentation – Follow-up and outcomes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Partly reported; adherence, adverse events, exact regimen and exact follow-up date require confirmation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11a–d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Discussion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Strengths/limitations, literature, rationale for conclusions, and take-away lessons.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Discussion and conclusions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Patient perspective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Include the patient’s perspective when appropriate.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Not included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Author/patient input required if available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Informed consent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 informed consent for publication.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Declarations – Consent for publication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Reported; confirm that signed consent covers all images</w:t>
            </w:r>
          </w:p>
        </w:tc>
      </w:tr>
    </w:tbl>
    <w:p/>
    <w:p>
      <w:r>
        <w:rPr>
          <w:b/>
        </w:rPr>
        <w:t xml:space="preserve">Author confirmation: </w:t>
      </w:r>
      <w:r>
        <w:t>The corresponding author should verify every entry and add any available patient perspective, treatment details, adverse events, and follow-up information before uploading this checklist.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Arial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