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作者核对与投稿清单</w:t>
      </w:r>
    </w:p>
    <w:p>
      <w:pPr>
        <w:jc w:val="center"/>
      </w:pPr>
      <w:r>
        <w:rPr>
          <w:i/>
        </w:rPr>
        <w:t>BMC Urology 病例报告</w:t>
      </w:r>
    </w:p>
    <w:p>
      <w:r>
        <w:t>以下事项来自对初稿内容、病例报告结构和图像文件的核查。清稿未虚构任何缺失的临床或伦理信息。请在投稿前由通讯作者和相关临床、病理、影像团队逐项确认。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投稿前操作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CCC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Critical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Ethics waiver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Confirm the exact ethics committee name, whether it formally waived review, and the waiver/decision number and date (if issued). Do not submit an unverified waiver statement.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CCC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Critical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Consent for publication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Confirm that signed written consent specifically covers publication of the case and all CT, histology, immunohistochemistry, and FISH images.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CCC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Critical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Pathology grade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Identify the grading system used for “grade III” (for example, FNCLCC) and provide the component score if available.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CCC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Critical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Margins and resection status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Confirm the status of all relevant soft-tissue margins and whether the resection was classified as R0, R1, or indeterminate. The current manuscript appropriately avoids claiming negative microscopic margins.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CCC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Critical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Chemotherapy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 regimen, doses if appropriate, number of cycles, start/end dates, adverse events, tolerance/adherence, and rationale. Confirm whether “adjuvant” is the treating team’s documented classification.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CCC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Critical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Follow-up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Replace “3 months after surgery” with the exact last follow-up date and update recurrence, survival, renal function, and treatment status. Longer follow-up would materially strengthen the report.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CCC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Critical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Figure 2 source quality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Replace the embedded 458 × 634 px composite with the original high-resolution panels. Supply magnification or scale bars for panels A–D and verify stains. Upscaling the current image will not restore detail.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High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Figure 1 source quality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 original-resolution CT exports if available. The current composite is 1374 × 1018 px; retain anonymization and panel labels.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High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Tumor origin and specimen mapping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Confirm how pathology established a common origin and whether the renal nodule corresponded to the dedifferentiated component. Keep the cautious wording if mapping is unavailable.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High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Staging evaluation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Report whether chest imaging or other metastatic work-up was performed and, if available, the pathological stage. Do not infer a stage from the current data.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High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Patient perspective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Ask whether the patient is willing to provide a brief perspective on diagnosis, treatment, and outcome. If unavailable, the CARE checklist should continue to mark this item as not reported.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High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Reference verification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Verify every reference against PubMed/Crossref or the publisher record, especially the 2025–2026 articles, and confirm volume, issue/article number, pages, and DOI.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Routine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Author details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Confirm author order, equal-contribution statement, affiliations, corresponding author postal address, email, telephone (submission system), and ORCID identifiers.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Routine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Author contributions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All authors must confirm the contribution statement and that they read and approved the final manuscript.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Routine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Competing interests and funding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All authors must confirm that the “no competing interests” and “no specific funding” statements are accurate.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D3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Routine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Submission files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At initial submission, upload the editable manuscript containing the figures and table. Upload the cover letter and CARE checklist separately. Separate high-resolution figures may be requested at revision/acceptance; do not upload patient consent as public supplementary material.</w:t>
            </w:r>
          </w:p>
        </w:tc>
      </w:tr>
    </w:tbl>
    <w:p>
      <w:pPr>
        <w:pStyle w:val="Heading1"/>
      </w:pPr>
      <w:r>
        <w:t>本次已完成的编辑</w:t>
      </w:r>
    </w:p>
    <w:p>
      <w:pPr>
        <w:pStyle w:val="ListBullet"/>
      </w:pPr>
      <w:r>
        <w:t>保留原始病例事实，统一为清晰、克制的学术英语，并避免把短期随访解释为长期疗效。</w:t>
      </w:r>
    </w:p>
    <w:p>
      <w:pPr>
        <w:pStyle w:val="ListBullet"/>
      </w:pPr>
      <w:r>
        <w:t>按病例报告结构整理标题页、结构式摘要、Background、Case presentation、Discussion and conclusions、缩略语和 Declarations。</w:t>
      </w:r>
    </w:p>
    <w:p>
      <w:pPr>
        <w:pStyle w:val="ListBullet"/>
      </w:pPr>
      <w:r>
        <w:t>修正伦理声明段落被误设为二级标题的格式问题，并将“参与研究同意”和“发表同意”分开。</w:t>
      </w:r>
    </w:p>
    <w:p>
      <w:pPr>
        <w:pStyle w:val="ListBullet"/>
      </w:pPr>
      <w:r>
        <w:t>将关键词精简为 5 个并加入“case report”，与 CARE 清单一致。</w:t>
      </w:r>
    </w:p>
    <w:p>
      <w:pPr>
        <w:pStyle w:val="ListBullet"/>
      </w:pPr>
      <w:r>
        <w:t>统一页面、字体、标题、行距、表格、参考文献悬挂缩进、图注和页码。</w:t>
      </w:r>
    </w:p>
    <w:p>
      <w:pPr>
        <w:pStyle w:val="ListBullet"/>
      </w:pPr>
      <w:r>
        <w:t>保留正文内嵌图表，同时另行导出两幅组合图，便于后续替换为高分辨率原图。</w:t>
      </w:r>
    </w:p>
    <w:p>
      <w:pPr>
        <w:pStyle w:val="ListBullet"/>
      </w:pPr>
      <w:r>
        <w:t>制作投稿信和 CARE checklist。</w:t>
      </w:r>
    </w:p>
    <w:p>
      <w:pPr>
        <w:pStyle w:val="Heading1"/>
      </w:pPr>
      <w:r>
        <w:t>上传建议</w:t>
      </w:r>
    </w:p>
    <w:p>
      <w:r>
        <w:t>主文稿：01_BMC_Urology_Manuscript_clean.docx</w:t>
      </w:r>
    </w:p>
    <w:p>
      <w:r>
        <w:t>投稿信：02_Cover_Letter.docx</w:t>
      </w:r>
    </w:p>
    <w:p>
      <w:r>
        <w:t>报告规范清单：03_CARE_Checklist.docx</w:t>
      </w:r>
    </w:p>
    <w:p>
      <w:r>
        <w:t>本核对清单仅供作者内部使用，通常不作为投稿附件上传。</w:t>
      </w:r>
    </w:p>
    <w:p>
      <w:r>
        <w:t>图 1 和图 2 已另存为 PNG。当前投稿界面允许初稿将图表置于 Word 正文中；如果系统或编辑要求单独上传，请使用原始高分辨率图替换导出的低分辨率版本。</w:t>
      </w:r>
    </w:p>
    <w:p>
      <w:pPr>
        <w:pStyle w:val="Heading1"/>
      </w:pPr>
      <w:r>
        <w:t>重要说明</w:t>
      </w:r>
    </w:p>
    <w:p>
      <w:r>
        <w:t>BMC/Springer 官方投稿网页在本工作环境中返回访问限制，因此本稿按 BMC 病例报告的通行结构、CARE 报告规范及你提供的投稿页面要求整理。投稿当天请由通讯作者在系统中再次核对文件类别、图像技术规格和必填表单。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 w:eastAsia="Arial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