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BLENDER WITH DOME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Vitamix</w:t>
      </w:r>
      <w:r/>
      <w:r>
        <w:br/>
      </w:r>
      <w:r>
        <w:t>Model No.:</w:t>
      </w:r>
      <w:r>
        <w:tab/>
        <w:t>36019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15.0A (Each)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onto Item </w:t>
      </w:r>
      <w:r>
        <w:rPr>
          <w:color w:val="FF0000"/>
        </w:rPr>
        <w:t>#, Café Millwork</w:t>
      </w:r>
      <w:r>
        <w:t>.</w:t>
      </w:r>
      <w:r/>
      <w:r>
        <w:br/>
      </w:r>
      <w:r>
        <w:t>3.</w:t>
      </w:r>
      <w:r>
        <w:tab/>
        <w:t>Provide 48 oz. container with Advance blade and lid.</w:t>
      </w:r>
      <w:r/>
      <w:r>
        <w:br/>
      </w:r>
      <w:r>
        <w:t>4.</w:t>
      </w:r>
      <w:r>
        <w:tab/>
        <w:t>Provide unbreakable polycarbonate sound enclosure.</w:t>
      </w:r>
      <w:r/>
      <w:r>
        <w:br/>
      </w:r>
      <w:r>
        <w:t>5.</w:t>
      </w:r>
      <w:r>
        <w:tab/>
        <w:t>Provide variable speed control.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