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CONTROL CENTER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Aerowerks</w:t>
      </w:r>
      <w:r/>
      <w:r>
        <w:br/>
      </w:r>
      <w:r>
        <w:t>Model No.:</w:t>
      </w:r>
      <w:r>
        <w:tab/>
        <w:t>Custom Design</w:t>
      </w:r>
      <w:r/>
      <w:r>
        <w:br/>
      </w:r>
      <w:r>
        <w:t>Pertinent Data:</w:t>
      </w:r>
      <w:r>
        <w:tab/>
        <w:t>See Plans, Drawing</w:t>
      </w:r>
      <w:r/>
      <w:r>
        <w:br/>
      </w:r>
      <w:r>
        <w:t>Utilities Req’d:</w:t>
      </w:r>
      <w:r>
        <w:tab/>
        <w:t>208V/3PH; 4.7A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Unit shall be an integral part of Item </w:t>
      </w:r>
      <w:r>
        <w:rPr>
          <w:color w:val="FF0000"/>
        </w:rPr>
        <w:t>#, Soiled Rack Transport Conveyor</w:t>
      </w:r>
      <w:r>
        <w:t>.</w:t>
      </w:r>
      <w:r/>
      <w:r>
        <w:br/>
      </w:r>
      <w:r>
        <w:t>4.</w:t>
      </w:r>
      <w:r>
        <w:tab/>
        <w:t>Provide unit with a stainless steel water-resistant cabinet.</w:t>
      </w:r>
      <w:r/>
      <w:r>
        <w:br/>
      </w:r>
      <w:r>
        <w:t>5.</w:t>
      </w:r>
      <w:r>
        <w:tab/>
        <w:t xml:space="preserve">Unit shall control on/off and speed of Item </w:t>
      </w:r>
      <w:r>
        <w:rPr>
          <w:color w:val="FF0000"/>
        </w:rPr>
        <w:t>#, Soiled Rack Transport Conveyor</w:t>
      </w:r>
      <w:r>
        <w:t>.</w:t>
      </w:r>
      <w:r/>
      <w:r>
        <w:br/>
      </w:r>
      <w:r>
        <w:t>6.</w:t>
      </w:r>
      <w:r>
        <w:tab/>
        <w:t>Provide remotely located start/stop station with magnetic system that allows rollers to stop, but chain to continue moving when racks are accumulated on conveyor.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>
        <w:tab/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