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COUNTERTOP CHARBROILER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IHR-RB-M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90,000 BTU’s;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</w:t>
      </w:r>
      <w:r>
        <w:rPr>
          <w:color w:val="221E1F"/>
        </w:rPr>
        <w:t>Individually Controlled 15,000 BTU/hr (4KW) Stainless Steel burners.</w:t>
      </w:r>
      <w:r/>
      <w:r>
        <w:br/>
      </w:r>
      <w:r>
        <w:rPr>
          <w:color w:val="221E1F"/>
        </w:rPr>
        <w:t>3.</w:t>
      </w:r>
      <w:r>
        <w:rPr>
          <w:color w:val="221E1F"/>
        </w:rPr>
        <w:tab/>
        <w:t>Unit shall have burners that are located every 6” (152 mm) with individual controls.</w:t>
      </w:r>
      <w:r/>
      <w:r>
        <w:br/>
      </w:r>
      <w:r>
        <w:rPr>
          <w:color w:val="221E1F"/>
        </w:rPr>
        <w:t>4.</w:t>
      </w:r>
      <w:r>
        <w:rPr>
          <w:color w:val="221E1F"/>
        </w:rPr>
        <w:tab/>
        <w:t>Equip unit with removable, reinforced cast iron radiants preventing clogging of burners and provide even broiling.</w:t>
      </w:r>
      <w:r/>
      <w:r>
        <w:br/>
      </w:r>
      <w:r>
        <w:rPr>
          <w:color w:val="221E1F"/>
        </w:rPr>
        <w:t>5.</w:t>
      </w:r>
      <w:r>
        <w:rPr>
          <w:color w:val="221E1F"/>
        </w:rPr>
        <w:tab/>
        <w:t>Provide unit with heavy-duty cast iron top grates provide attractive char-broiler markings.</w:t>
      </w:r>
      <w:r/>
      <w:r>
        <w:br/>
      </w:r>
      <w:r>
        <w:rPr>
          <w:color w:val="221E1F"/>
        </w:rPr>
        <w:t>6.</w:t>
      </w:r>
      <w:r>
        <w:rPr>
          <w:color w:val="221E1F"/>
        </w:rPr>
        <w:tab/>
        <w:t>Equip unit with a</w:t>
      </w:r>
      <w:r>
        <w:t xml:space="preserve"> s</w:t>
      </w:r>
      <w:r>
        <w:rPr>
          <w:color w:val="221E1F"/>
        </w:rPr>
        <w:t>lanted cooking surface which provides a range of cooking temperatures.</w:t>
      </w:r>
      <w:r/>
      <w:r>
        <w:br/>
      </w:r>
      <w:r>
        <w:rPr>
          <w:color w:val="221E1F"/>
        </w:rPr>
        <w:t>7.</w:t>
      </w:r>
      <w:r>
        <w:rPr>
          <w:color w:val="221E1F"/>
        </w:rPr>
        <w:tab/>
        <w:t>Unit shall include a full width grease gutter and large capacity removable drip pan.</w:t>
      </w:r>
      <w:r/>
      <w:r>
        <w:br/>
      </w:r>
      <w:r>
        <w:t>8.</w:t>
      </w:r>
      <w:r>
        <w:tab/>
        <w:t xml:space="preserve">Coordinate installation into </w:t>
      </w:r>
      <w:r>
        <w:rPr>
          <w:color w:val="FF0000"/>
        </w:rPr>
        <w:t>Item #, Refrigerated Equipment Base</w:t>
      </w:r>
      <w:r>
        <w:t>.</w:t>
      </w:r>
      <w:r/>
      <w:r>
        <w:br/>
      </w:r>
      <w:r>
        <w:t>9.</w:t>
      </w:r>
      <w:r>
        <w:tab/>
        <w:t>Provide 36” unit.</w:t>
      </w:r>
      <w:r/>
      <w:r>
        <w:br/>
      </w:r>
      <w:r>
        <w:t>10.</w:t>
      </w:r>
      <w:r>
        <w:tab/>
        <w:t>Provide gas pressure regulator and 48” quick disconnect gas hose with restraining device.</w:t>
      </w:r>
      <w:r/>
      <w:r>
        <w:br/>
      </w:r>
      <w:r>
        <w:t>11.</w:t>
      </w:r>
      <w:r>
        <w:tab/>
        <w:t>Provide one-piece common high shelf, back guard and front landing ledge.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