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DOLLY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PCD11A</w:t>
      </w:r>
      <w:r/>
      <w:r>
        <w:br/>
      </w:r>
      <w:r>
        <w:t>Pertinent Data:</w:t>
      </w:r>
      <w:r>
        <w:tab/>
        <w:t>“Poker Chip”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additional dividers ADIIA.</w:t>
      </w:r>
      <w:r/>
      <w:r>
        <w:br/>
      </w:r>
      <w:r>
        <w:t>3.</w:t>
      </w:r>
      <w:r>
        <w:tab/>
        <w:t>Provide additional covers PCDVIIA.</w:t>
      </w:r>
      <w:r/>
      <w:r>
        <w:br/>
      </w:r>
      <w:r>
        <w:t>4.</w:t>
      </w:r>
      <w:r>
        <w:tab/>
        <w:t>Provide four (4) heavy-duty, polyurethane, non-marking casters, two (2) with brakes.</w:t>
      </w:r>
      <w:r/>
      <w:r>
        <w:br/>
      </w:r>
      <w:r>
        <w:t>5.</w:t>
      </w:r>
      <w:r>
        <w:tab/>
        <w:t xml:space="preserve">Coordinate installation under </w:t>
      </w:r>
      <w:r>
        <w:rPr>
          <w:color w:val="FF0000"/>
        </w:rPr>
        <w:t>Item #, Plating Table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