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DRIP TROUGH WITH RINSER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C18660-GRC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CW, 1/2”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all stainless steel construction.</w:t>
      </w:r>
      <w:r/>
      <w:r>
        <w:br/>
      </w:r>
      <w:r>
        <w:t>4.</w:t>
      </w:r>
      <w:r>
        <w:tab/>
        <w:t>Provide 4-3/8” diameter heavy-gauge stainless steel glass rack, NSF listed stainless steel rinser.</w:t>
      </w:r>
      <w:r/>
      <w:r>
        <w:br/>
      </w:r>
      <w:r>
        <w:t>5.</w:t>
      </w:r>
      <w:r>
        <w:tab/>
        <w:t>Equip unit with 1/2” I.D. brass drain tube with 1/2” NPSM thread and mechanical end to accept 1/2” I.D. flexible drain tube.</w:t>
      </w:r>
      <w:r/>
      <w:r>
        <w:br/>
      </w:r>
      <w:r>
        <w:t>6.</w:t>
      </w:r>
      <w:r>
        <w:tab/>
        <w:t xml:space="preserve">Coordinate installation into </w:t>
      </w:r>
      <w:r>
        <w:rPr>
          <w:color w:val="FF0000"/>
        </w:rPr>
        <w:t>Item #, Bar Top</w:t>
      </w:r>
      <w:r>
        <w:t>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