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PRS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208V/3PH, 3.2A; 1/2” HW, 1/2” CW, 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>Item #, Soiled Dish Table</w:t>
      </w:r>
      <w:r>
        <w:t xml:space="preserve"> 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 cover.</w:t>
      </w:r>
      <w:r/>
      <w:r>
        <w:br/>
      </w:r>
      <w:r>
        <w:t>7.</w:t>
      </w:r>
      <w:r>
        <w:tab/>
        <w:t>Provide an easy access ball valve allows operators to quickly reposition water plume.</w:t>
      </w:r>
      <w:r/>
      <w:r>
        <w:br/>
      </w:r>
      <w:r>
        <w:t>8.</w:t>
      </w:r>
      <w:r>
        <w:tab/>
        <w:t>Provide an additional Scrap Basket.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