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INDUCTION CHARGER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IND2503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14.0A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audible alert when base is ready.</w:t>
      </w:r>
      <w:r/>
      <w:r>
        <w:br/>
      </w:r>
      <w:r>
        <w:t>4.</w:t>
      </w:r>
      <w:r>
        <w:tab/>
        <w:t>Provide digital LED display.</w:t>
      </w:r>
      <w:r/>
      <w:r>
        <w:br/>
      </w:r>
      <w:r>
        <w:t>5.</w:t>
      </w:r>
      <w:r>
        <w:tab/>
        <w:t>Unit shall have 19 second heating cycle.</w:t>
      </w:r>
      <w:r/>
      <w:r>
        <w:br/>
      </w:r>
      <w:r>
        <w:t>6.</w:t>
      </w:r>
      <w:r>
        <w:tab/>
        <w:t>Provide solid state electronic controls.</w:t>
      </w:r>
      <w:r/>
      <w:r>
        <w:br/>
      </w:r>
      <w:r>
        <w:t>7.</w:t>
      </w:r>
      <w:r>
        <w:tab/>
        <w:t xml:space="preserve">Coordinate installation onto Item </w:t>
      </w:r>
      <w:r>
        <w:rPr>
          <w:color w:val="FF0000"/>
        </w:rPr>
        <w:t>#???</w:t>
      </w:r>
      <w:r>
        <w:t>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