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KEG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(1) 2KR365DC</w:t>
      </w:r>
      <w:r/>
      <w:r>
        <w:br/>
      </w:r>
      <w:r>
        <w:t>Pertinent Data:</w:t>
      </w:r>
      <w:r>
        <w:tab/>
        <w:t>Style A (6 KEG)</w:t>
      </w:r>
      <w:r/>
      <w:r>
        <w:br/>
      </w:r>
      <w:r>
        <w:t>Utilities Req’d:</w:t>
      </w:r>
      <w:r>
        <w:tab/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>Provide HD Super components.</w:t>
      </w:r>
      <w:r/>
      <w:r>
        <w:br/>
      </w:r>
      <w:r>
        <w:t>4.</w:t>
      </w:r>
      <w:r>
        <w:tab/>
        <w:t>Provide unit with two (2) shelves.</w:t>
      </w:r>
      <w:r/>
      <w:r>
        <w:br/>
      </w:r>
      <w:r>
        <w:t>5.</w:t>
      </w:r>
      <w:r>
        <w:tab/>
        <w:t>Provide style A.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