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HOT BOX</w:t>
      </w:r>
      <w:r/>
      <w:r>
        <w:br/>
      </w:r>
      <w:r>
        <w:t>Quantity:</w:t>
      </w:r>
      <w:r>
        <w:tab/>
        <w:t>Eighteen (18)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 xml:space="preserve">4918700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use with </w:t>
      </w:r>
      <w:r>
        <w:rPr>
          <w:color w:val="FF0000"/>
        </w:rPr>
        <w:t>Item #, Room Service Tables</w:t>
      </w:r>
      <w:r>
        <w:t>.</w:t>
      </w:r>
      <w:r/>
      <w:r>
        <w:br/>
      </w:r>
      <w:r>
        <w:t>3.</w:t>
      </w:r>
      <w:r>
        <w:tab/>
        <w:t>Unit shall be constructed of stainless steel.</w:t>
      </w:r>
      <w:r/>
      <w:r>
        <w:br/>
      </w:r>
      <w:r>
        <w:t>4.</w:t>
      </w:r>
      <w:r>
        <w:tab/>
        <w:t>Unit shall have four (4) internal shelves to maximize space inside warmer.</w:t>
      </w:r>
      <w:r/>
      <w:r>
        <w:br/>
      </w:r>
      <w:r>
        <w:t>5.</w:t>
      </w:r>
      <w:r>
        <w:tab/>
        <w:t>Unit shall have heavy-duty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