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WALK-IN COOLER</w:t>
      </w:r>
      <w:r/>
      <w:r>
        <w:br/>
      </w:r>
      <w:r>
        <w:t>Quantity:</w:t>
      </w:r>
      <w:r>
        <w:tab/>
        <w:t>One (1)</w:t>
      </w:r>
      <w:r/>
      <w:r>
        <w:br/>
      </w:r>
      <w:r>
        <w:t>Manufacturer:</w:t>
      </w:r>
      <w:r>
        <w:tab/>
        <w:t>ThermalRite</w:t>
      </w:r>
      <w:r/>
      <w:r>
        <w:br/>
      </w:r>
      <w:r>
        <w:t>Model No.:</w:t>
      </w:r>
      <w:r>
        <w:tab/>
        <w:t>Custom</w:t>
      </w:r>
      <w:r/>
      <w:r>
        <w:br/>
      </w:r>
      <w:r>
        <w:t>Pertinent Data:</w:t>
      </w:r>
      <w:r>
        <w:tab/>
      </w:r>
      <w:r>
        <w:rPr>
          <w:color w:val="FF0000"/>
        </w:rPr>
        <w:t>8’ 6” ID Wide x 9’ 10” ID x 8’6” High</w:t>
      </w:r>
      <w:r/>
      <w:r>
        <w:br/>
      </w:r>
      <w:r>
        <w:t>Utilities Req’d:</w:t>
      </w:r>
      <w:r>
        <w:tab/>
        <w:t>120V/1PH, 20.0 A (for lights and door heater)</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Wall panels to consist of 101.6 mm (4”) foamed in place Urethane foam insulated panels with less than 25 flame spread and less than 450 smoke density, in accordance with ASTM E84 and UBC Section 1713. All exposed finishes to be Sanisteel. All unexposed panels to be 20-gauge galvanized steel.</w:t>
      </w:r>
      <w:r/>
      <w:r>
        <w:br/>
      </w:r>
      <w:r>
        <w:t>3.</w:t>
      </w:r>
      <w:r>
        <w:tab/>
        <w:t>All panels to have tongue and groove construction and be rigidly coupled with steel cam locks, foamed in place on 1219.2 mm (4’-0”) centers, minimum of three (3) per joint for walls and two (2) for ceilings. Section lock ports to be furnished with PVC snap in buttons. Panel joints to be sealed with continuous PVC gasket at interior and exterior panel edges, foamed onto panels at the factory.</w:t>
      </w:r>
      <w:r/>
      <w:r>
        <w:br/>
      </w:r>
      <w:r>
        <w:t>4.</w:t>
      </w:r>
      <w:r>
        <w:tab/>
        <w:t xml:space="preserve">Ceiling panels to have a maximum deflection of 1/240 of the clear span under uniform loading of 20 pounds per square foot. </w:t>
      </w:r>
      <w:r>
        <w:t>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r>
      <w:r/>
      <w:r>
        <w:br/>
      </w:r>
      <w:r>
        <w:rPr>
          <w:color w:val="FF0000"/>
        </w:rPr>
        <w:t>5.</w:t>
      </w:r>
      <w:r>
        <w:rPr>
          <w:color w:val="FF0000"/>
        </w:rPr>
        <w:tab/>
        <w:t>Installation of panels to be:</w:t>
      </w:r>
      <w:r/>
      <w:r>
        <w:br/>
      </w:r>
      <w:r>
        <w:rPr>
          <w:color w:val="FF0000"/>
        </w:rPr>
        <w:tab/>
      </w:r>
      <w:r>
        <w:rPr>
          <w:color w:val="FF0000"/>
        </w:rPr>
        <w:t xml:space="preserve">Floor Panels: General Contractor to provide a </w:t>
      </w:r>
      <w:r>
        <w:rPr>
          <w:color w:val="FF0000"/>
        </w:rPr>
        <w:t>non-insulated</w:t>
      </w:r>
      <w:r>
        <w:rPr>
          <w:color w:val="FF0000"/>
        </w:rPr>
        <w:t>, level-smooth, clean floor with 4 mil (min) polyvinyl separator sheets with 6" overlaps (min) at joints. Floor panels to be installed prior to wall   panels with rigidly coupled cam locks. Floor panels to have minimum 650 pound per square foot (3,173.58 kg/m2) load capacity with 3/16" aluminum tread plate wearing surface, and 5" high 3/8" minimum radius coved base. Provide interior ramp with matching tread plate where shown on drawings.</w:t>
      </w:r>
      <w:r/>
      <w:r>
        <w:br/>
      </w:r>
      <w:r>
        <w:t>6.</w:t>
      </w:r>
      <w:r>
        <w:tab/>
        <w:t xml:space="preserve">Cooler door to be standard ThermalRite door with a clear opening size shall be </w:t>
      </w:r>
      <w:r>
        <w:rPr>
          <w:color w:val="FF0000"/>
        </w:rPr>
        <w:t xml:space="preserve">42” wide </w:t>
      </w:r>
      <w:r>
        <w:t>by 6’6” high, hinged as shown on plans. Door is to be flush fitting with 3” insulation and finish to be same type as wall panels. Door jambs to be 20-gauge stainless steel, all corners heliarc welded, ground and polished. Gaskets to be PVC with vulcanized and continuous magnetic core at sides and head of door jamb. Sill wiper is to be adjustable neoprene, re movable and held in place with stainless steel retainer strip and fasteners.</w:t>
      </w:r>
      <w:r/>
      <w:r>
        <w:br/>
      </w:r>
      <w:r>
        <w:t>7.</w:t>
      </w:r>
      <w: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r/>
      <w:r>
        <w:br/>
      </w:r>
      <w:r>
        <w:t>8.</w:t>
      </w:r>
      <w:r>
        <w:tab/>
        <w:t>Provide heated door gasket and 14” x 24” vision panel; 24” high kickplate of 1/8” aluminum tread plate on both sides of door, full width of door; and heated, removable threshold of 1/8” thick stainless steel plate.</w:t>
      </w:r>
      <w:r/>
      <w:r>
        <w:br/>
      </w:r>
      <w:r>
        <w:t>9.</w:t>
      </w:r>
      <w:r>
        <w:tab/>
        <w:t>Provide hydraulic rack and pinon door closer with automatic hold open. Three coat aluminum finish with lacquer final coat.</w:t>
      </w:r>
      <w:r/>
      <w:r>
        <w:br/>
      </w:r>
      <w:r>
        <w:t>10.</w:t>
      </w:r>
      <w:r>
        <w:tab/>
        <w:t>Hardware to be mounted with reinforced steel tapping plates and stainless steel machine screws.</w:t>
      </w:r>
      <w:r/>
      <w:r>
        <w:br/>
      </w:r>
      <w:r>
        <w:t>11.</w:t>
      </w:r>
      <w:r>
        <w:tab/>
        <w:t>Provide interior cart bumper of 1/4” (6.35mm) x 2” (50.8mm) aluminum bar at 6” (152.4mm) AFF.</w:t>
      </w:r>
      <w:r/>
      <w:r>
        <w:br/>
      </w:r>
      <w:r>
        <w:t>12.</w:t>
      </w:r>
      <w:r>
        <w:tab/>
      </w:r>
      <w:r>
        <w:t>Provide interior rub rails</w:t>
      </w:r>
      <w:r>
        <w:t xml:space="preserve"> which shall be continuous lengths of angled, self-draining extruded aluminum type 6063T5 with black, non-marking vinyl bumpers, Series 40, as manufactured by Boston Metal Products of Bedford, Massachusetts. Secure rub rails with stainless steel fasteners 18” (457.2mm) on center, at 2’0” (609.6mm) AFF where walls are exposed, or where mobile equipment is located.</w:t>
      </w:r>
      <w:r/>
      <w:r>
        <w:br/>
      </w:r>
      <w:r>
        <w:t>13.</w:t>
      </w:r>
      <w:r>
        <w:tab/>
        <w:t>Provide PVC, low temperature strip curtains, transparent, 8” (203.2mm) wide by 0.080” (2.03mm) thick, at door openings.</w:t>
      </w:r>
      <w:r/>
      <w:r>
        <w:br/>
      </w:r>
      <w:r>
        <w:t>14.</w:t>
      </w:r>
      <w:r>
        <w:tab/>
      </w:r>
      <w:r>
        <w:t>Provide adequate Kason 1810LX6000 LED</w:t>
      </w:r>
      <w:r>
        <w:t xml:space="preserve"> light fixtures</w:t>
      </w:r>
      <w:r>
        <w:t xml:space="preserve"> light fixtures installed in ceiling to accomplish 20 foot-candle power at 6” (152.4mm) above finished floor, fully enclosed and gasketed vapor tight with shatterproof diffuser sized for two (2) 75watt fluorescent lamps. Electrical Contractor to install.</w:t>
      </w:r>
      <w:r/>
      <w:r>
        <w:br/>
      </w:r>
      <w:r>
        <w:t>15.</w:t>
      </w:r>
      <w:r>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r>
      <w:r/>
      <w:r>
        <w:br/>
      </w:r>
      <w:r>
        <w:t>16.</w:t>
      </w:r>
      <w:r>
        <w:tab/>
        <w:t>All electrical penetrations to the ambient of the walk-in require “EY” seal offs, provided by the electrical contractor.</w:t>
      </w:r>
      <w:r/>
      <w:r>
        <w:br/>
      </w:r>
      <w:r>
        <w:t>17.</w:t>
      </w:r>
      <w:r>
        <w:tab/>
        <w:t>Provide unheated pressure relief port.</w:t>
      </w:r>
      <w:r/>
      <w:r>
        <w:br/>
      </w:r>
      <w:r>
        <w:t>18.</w:t>
      </w:r>
      <w:r>
        <w:tab/>
        <w:t>Provide matching closure panel and provide trim strips.</w:t>
      </w:r>
      <w:r/>
      <w:r>
        <w:br/>
      </w:r>
      <w:r>
        <w:t>19.</w:t>
      </w:r>
      <w:r>
        <w:tab/>
        <w:t>Provide coil supports or 1/2” (12.07mm) diameter nylon threaded rods, plated steel nuts and washers to adequately support specified evaporator coils.</w:t>
      </w:r>
      <w:r/>
      <w:r>
        <w:br/>
      </w:r>
      <w:r>
        <w:t>20.</w:t>
      </w:r>
      <w:r>
        <w:tab/>
        <w:t>Provide escutcheon plates of 5” (127.0mm) diameter stainless steel, as required by each contractor to dress off utility penetrations, including drain lines. Contractor is responsible for cutting holes in blanks and sealing off respective penetrations.</w:t>
      </w:r>
      <w:r/>
      <w:r>
        <w:br/>
      </w:r>
      <w:r>
        <w:t>21.</w:t>
      </w:r>
      <w: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r/>
      <w:r>
        <w:br/>
      </w:r>
      <w:r>
        <w:t>22.</w:t>
      </w:r>
      <w:r>
        <w:tab/>
        <w:t>KEC to provide Communications Package Plus HACCP monitoring system software, which when installed on Owners Computer will provide the kitchen operator the ability to monitor and record time and temperature of various equipment as identified in the specification.</w:t>
      </w:r>
      <w:r/>
      <w:r>
        <w:br/>
      </w:r>
      <w:r>
        <w:t>23. KEC is fully responsible to provide a fully tested and operational system.</w:t>
      </w:r>
      <w:r/>
      <w:r>
        <w:br/>
      </w:r>
      <w:r>
        <w:t>24.</w:t>
      </w:r>
      <w:r>
        <w:tab/>
        <w:t>Provide shop drawings for approval prior to fabrication.</w:t>
      </w:r>
      <w:r/>
      <w:r>
        <w:br/>
      </w:r>
      <w:r>
        <w:t>25.</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