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CC103" w14:textId="496AEBFA" w:rsidR="003B62DE" w:rsidRPr="003B62DE" w:rsidRDefault="003B62DE">
      <w:pPr>
        <w:rPr>
          <w:b/>
          <w:bCs/>
        </w:rPr>
      </w:pPr>
      <w:r w:rsidRPr="003B62DE">
        <w:rPr>
          <w:b/>
          <w:bCs/>
        </w:rPr>
        <w:t>APPENDIX: Calibration of model</w:t>
      </w:r>
    </w:p>
    <w:p w14:paraId="1B730BB7" w14:textId="27951EA9" w:rsidR="003B62DE" w:rsidRDefault="003B62DE">
      <w:r>
        <w:t xml:space="preserve">Model was calibrated to produce predictions consistent with published empirical data on prevalence of asthma and the distribution of asthma control across the population. </w:t>
      </w:r>
    </w:p>
    <w:p w14:paraId="675B0D08" w14:textId="6CC3FC50" w:rsidR="00C63ABB" w:rsidRDefault="00A56F2E">
      <w:r>
        <w:t>Previousl</w:t>
      </w:r>
      <w:r w:rsidR="00C63ABB">
        <w:t>y</w:t>
      </w:r>
      <w:r>
        <w:t xml:space="preserve"> published models differed in how they depicted the natural history asthma. </w:t>
      </w:r>
      <w:commentRangeStart w:id="0"/>
      <w:r>
        <w:t xml:space="preserve">Most models </w:t>
      </w:r>
      <w:commentRangeEnd w:id="0"/>
      <w:r w:rsidR="000A553A">
        <w:rPr>
          <w:rStyle w:val="CommentReference"/>
        </w:rPr>
        <w:commentReference w:id="0"/>
      </w:r>
      <w:r>
        <w:t xml:space="preserve">used various healthcare use outcomes as their Markov states (severe exacerbation, emergency department visit etc.). </w:t>
      </w:r>
      <w:r w:rsidR="00C63ABB">
        <w:t xml:space="preserve">However, we preferred to model asthma control, rather than acute healthcare use events, and we wanted to be able to distinguish small changes in control in response to climate exposures. </w:t>
      </w:r>
      <w:r w:rsidR="00D85617">
        <w:t>With expert input</w:t>
      </w:r>
      <w:r w:rsidR="00C63ABB">
        <w:t>, we decided to use a 5-level asthma control framework (ranging from “completely controlled” to “not controlled at all”), loosely based on GINA recommendations</w:t>
      </w:r>
      <w:r w:rsidR="00D85617">
        <w:t xml:space="preserve"> for</w:t>
      </w:r>
      <w:r w:rsidR="00C63ABB">
        <w:t xml:space="preserve"> asthma treatment </w:t>
      </w:r>
      <w:commentRangeStart w:id="1"/>
      <w:r w:rsidR="00C63ABB">
        <w:t>steps</w:t>
      </w:r>
      <w:commentRangeEnd w:id="1"/>
      <w:r w:rsidR="00D85617">
        <w:rPr>
          <w:rStyle w:val="CommentReference"/>
        </w:rPr>
        <w:commentReference w:id="1"/>
      </w:r>
      <w:r w:rsidR="00C63ABB">
        <w:t xml:space="preserve">. Further support for this framework was found in several publications in which 5-category physician assessment scores were used to validate the 3-level Asthma Control Test </w:t>
      </w:r>
      <w:commentRangeStart w:id="2"/>
      <w:r w:rsidR="00C63ABB">
        <w:t xml:space="preserve">(ACT). </w:t>
      </w:r>
      <w:commentRangeEnd w:id="2"/>
      <w:r w:rsidR="00D85617">
        <w:rPr>
          <w:rStyle w:val="CommentReference"/>
        </w:rPr>
        <w:commentReference w:id="2"/>
      </w:r>
    </w:p>
    <w:p w14:paraId="7E7397CB" w14:textId="4356CC58" w:rsidR="00C47772" w:rsidRDefault="00A56F2E">
      <w:r>
        <w:t>We therefore needed a transition probability matrix for transitions between 5 states.</w:t>
      </w:r>
      <w:r w:rsidR="006D73EC">
        <w:t xml:space="preserve"> Starting from a population with “somewhat controlled” asthma, </w:t>
      </w:r>
      <w:r w:rsidR="00C47772">
        <w:t xml:space="preserve">we ran the model through several iterations until equilibrium was reached. We then compared the equilibrium distribution of asthma control to the published distribution of 5-level asthma control. We repeated this until a transition probability matrix was achieved that produced predictions consistent with empirical data on prevalence of asthma control. The calibrated model </w:t>
      </w:r>
      <w:r w:rsidR="000A553A">
        <w:t>approached</w:t>
      </w:r>
      <w:r w:rsidR="00C47772">
        <w:t xml:space="preserve"> equilibrium </w:t>
      </w:r>
      <w:r w:rsidR="000A553A">
        <w:t>within</w:t>
      </w:r>
      <w:r w:rsidR="00C47772">
        <w:t xml:space="preserve"> 5 iterations, with a cumulative 0.048 difference in asthma control distribution (Table I).</w:t>
      </w:r>
    </w:p>
    <w:p w14:paraId="73EA29B4" w14:textId="0CA35359" w:rsidR="000A553A" w:rsidRPr="000A553A" w:rsidRDefault="000A553A">
      <w:pPr>
        <w:rPr>
          <w:b/>
          <w:bCs/>
        </w:rPr>
      </w:pPr>
      <w:r w:rsidRPr="000A553A">
        <w:rPr>
          <w:b/>
          <w:bCs/>
        </w:rPr>
        <w:t xml:space="preserve">Table I. Calibration for distribution of asthma control </w:t>
      </w:r>
    </w:p>
    <w:tbl>
      <w:tblPr>
        <w:tblStyle w:val="TableGrid"/>
        <w:tblW w:w="0" w:type="auto"/>
        <w:jc w:val="center"/>
        <w:tblLook w:val="04A0" w:firstRow="1" w:lastRow="0" w:firstColumn="1" w:lastColumn="0" w:noHBand="0" w:noVBand="1"/>
      </w:tblPr>
      <w:tblGrid>
        <w:gridCol w:w="2336"/>
        <w:gridCol w:w="2338"/>
        <w:gridCol w:w="2338"/>
        <w:gridCol w:w="2338"/>
      </w:tblGrid>
      <w:tr w:rsidR="00C47772" w14:paraId="4B540DCD" w14:textId="78E11554" w:rsidTr="00C47772">
        <w:trPr>
          <w:jc w:val="center"/>
        </w:trPr>
        <w:tc>
          <w:tcPr>
            <w:tcW w:w="2336" w:type="dxa"/>
            <w:vAlign w:val="center"/>
          </w:tcPr>
          <w:p w14:paraId="7F68E4E7" w14:textId="1E5D563C" w:rsidR="00C47772" w:rsidRPr="00C47772" w:rsidRDefault="00C47772" w:rsidP="00C47772">
            <w:pPr>
              <w:jc w:val="center"/>
              <w:rPr>
                <w:b/>
                <w:bCs/>
              </w:rPr>
            </w:pPr>
            <w:r w:rsidRPr="00C47772">
              <w:rPr>
                <w:b/>
                <w:bCs/>
              </w:rPr>
              <w:t>Control status</w:t>
            </w:r>
          </w:p>
        </w:tc>
        <w:tc>
          <w:tcPr>
            <w:tcW w:w="2338" w:type="dxa"/>
            <w:vAlign w:val="center"/>
          </w:tcPr>
          <w:p w14:paraId="76226B99" w14:textId="7DCEB63B" w:rsidR="00C47772" w:rsidRPr="00C47772" w:rsidRDefault="00C47772" w:rsidP="00C47772">
            <w:pPr>
              <w:jc w:val="center"/>
              <w:rPr>
                <w:b/>
                <w:bCs/>
              </w:rPr>
            </w:pPr>
            <w:r w:rsidRPr="00C47772">
              <w:rPr>
                <w:b/>
                <w:bCs/>
              </w:rPr>
              <w:t>Literature distribution</w:t>
            </w:r>
          </w:p>
        </w:tc>
        <w:tc>
          <w:tcPr>
            <w:tcW w:w="2338" w:type="dxa"/>
            <w:vAlign w:val="center"/>
          </w:tcPr>
          <w:p w14:paraId="2186CC30" w14:textId="24EA9E0C" w:rsidR="00C47772" w:rsidRPr="00C47772" w:rsidRDefault="00C47772" w:rsidP="00C47772">
            <w:pPr>
              <w:jc w:val="center"/>
              <w:rPr>
                <w:b/>
                <w:bCs/>
              </w:rPr>
            </w:pPr>
            <w:r w:rsidRPr="00C47772">
              <w:rPr>
                <w:b/>
                <w:bCs/>
              </w:rPr>
              <w:t>Model @ equilibrium</w:t>
            </w:r>
          </w:p>
        </w:tc>
        <w:tc>
          <w:tcPr>
            <w:tcW w:w="2338" w:type="dxa"/>
            <w:vAlign w:val="center"/>
          </w:tcPr>
          <w:p w14:paraId="6DFC419B" w14:textId="6216DBCC" w:rsidR="00C47772" w:rsidRPr="00C47772" w:rsidRDefault="00C47772" w:rsidP="00C47772">
            <w:pPr>
              <w:jc w:val="center"/>
              <w:rPr>
                <w:b/>
                <w:bCs/>
              </w:rPr>
            </w:pPr>
            <w:r w:rsidRPr="00C47772">
              <w:rPr>
                <w:b/>
                <w:bCs/>
              </w:rPr>
              <w:t>Delta</w:t>
            </w:r>
          </w:p>
        </w:tc>
      </w:tr>
      <w:tr w:rsidR="00C47772" w14:paraId="629AC713" w14:textId="016DCE86" w:rsidTr="00C47772">
        <w:trPr>
          <w:jc w:val="center"/>
        </w:trPr>
        <w:tc>
          <w:tcPr>
            <w:tcW w:w="2336" w:type="dxa"/>
            <w:vAlign w:val="center"/>
          </w:tcPr>
          <w:p w14:paraId="72A24C6F" w14:textId="65618816" w:rsidR="00C47772" w:rsidRDefault="00C47772" w:rsidP="00C47772">
            <w:pPr>
              <w:jc w:val="center"/>
            </w:pPr>
            <w:r>
              <w:t>Completely controlled</w:t>
            </w:r>
          </w:p>
        </w:tc>
        <w:tc>
          <w:tcPr>
            <w:tcW w:w="2338" w:type="dxa"/>
            <w:vAlign w:val="center"/>
          </w:tcPr>
          <w:p w14:paraId="575B2BCB" w14:textId="2D2E35DA" w:rsidR="00C47772" w:rsidRDefault="00C47772" w:rsidP="00C47772">
            <w:pPr>
              <w:jc w:val="center"/>
            </w:pPr>
            <w:r>
              <w:t>0.091</w:t>
            </w:r>
          </w:p>
        </w:tc>
        <w:tc>
          <w:tcPr>
            <w:tcW w:w="2338" w:type="dxa"/>
            <w:vAlign w:val="center"/>
          </w:tcPr>
          <w:p w14:paraId="5FABF31F" w14:textId="51091F93" w:rsidR="00C47772" w:rsidRDefault="00C47772" w:rsidP="00C47772">
            <w:pPr>
              <w:jc w:val="center"/>
            </w:pPr>
            <w:r>
              <w:t>0.073</w:t>
            </w:r>
          </w:p>
        </w:tc>
        <w:tc>
          <w:tcPr>
            <w:tcW w:w="2338" w:type="dxa"/>
            <w:vAlign w:val="center"/>
          </w:tcPr>
          <w:p w14:paraId="6C989DDA" w14:textId="5DBF3B00" w:rsidR="00C47772" w:rsidRDefault="00C47772" w:rsidP="00C47772">
            <w:pPr>
              <w:jc w:val="center"/>
            </w:pPr>
            <w:r>
              <w:t>-0.0172</w:t>
            </w:r>
          </w:p>
        </w:tc>
      </w:tr>
      <w:tr w:rsidR="00C47772" w14:paraId="7CCF6FCB" w14:textId="35ECB6B9" w:rsidTr="00C47772">
        <w:trPr>
          <w:jc w:val="center"/>
        </w:trPr>
        <w:tc>
          <w:tcPr>
            <w:tcW w:w="2336" w:type="dxa"/>
            <w:vAlign w:val="center"/>
          </w:tcPr>
          <w:p w14:paraId="66D4036F" w14:textId="6ACD3A73" w:rsidR="00C47772" w:rsidRDefault="00C47772" w:rsidP="00C47772">
            <w:pPr>
              <w:jc w:val="center"/>
            </w:pPr>
            <w:r>
              <w:t>Well-controlled</w:t>
            </w:r>
          </w:p>
        </w:tc>
        <w:tc>
          <w:tcPr>
            <w:tcW w:w="2338" w:type="dxa"/>
            <w:vAlign w:val="center"/>
          </w:tcPr>
          <w:p w14:paraId="6E94A9DD" w14:textId="024D30B5" w:rsidR="00C47772" w:rsidRDefault="00C47772" w:rsidP="00C47772">
            <w:pPr>
              <w:jc w:val="center"/>
            </w:pPr>
            <w:r>
              <w:t>0.391</w:t>
            </w:r>
          </w:p>
        </w:tc>
        <w:tc>
          <w:tcPr>
            <w:tcW w:w="2338" w:type="dxa"/>
            <w:vAlign w:val="center"/>
          </w:tcPr>
          <w:p w14:paraId="58457CBE" w14:textId="53B67958" w:rsidR="00C47772" w:rsidRDefault="00C47772" w:rsidP="00C47772">
            <w:pPr>
              <w:jc w:val="center"/>
            </w:pPr>
            <w:r>
              <w:t>0.390</w:t>
            </w:r>
          </w:p>
        </w:tc>
        <w:tc>
          <w:tcPr>
            <w:tcW w:w="2338" w:type="dxa"/>
            <w:vAlign w:val="center"/>
          </w:tcPr>
          <w:p w14:paraId="552AA641" w14:textId="5E5CC634" w:rsidR="00C47772" w:rsidRDefault="00C47772" w:rsidP="00C47772">
            <w:pPr>
              <w:jc w:val="center"/>
            </w:pPr>
            <w:r>
              <w:t>-0.0011</w:t>
            </w:r>
          </w:p>
        </w:tc>
      </w:tr>
      <w:tr w:rsidR="00C47772" w14:paraId="50E9CD84" w14:textId="6038FDA7" w:rsidTr="00C47772">
        <w:trPr>
          <w:jc w:val="center"/>
        </w:trPr>
        <w:tc>
          <w:tcPr>
            <w:tcW w:w="2336" w:type="dxa"/>
            <w:vAlign w:val="center"/>
          </w:tcPr>
          <w:p w14:paraId="3D00B8BB" w14:textId="3AEA1D5C" w:rsidR="00C47772" w:rsidRDefault="00C47772" w:rsidP="00C47772">
            <w:pPr>
              <w:jc w:val="center"/>
            </w:pPr>
            <w:r>
              <w:t>Somewhat controlled</w:t>
            </w:r>
          </w:p>
        </w:tc>
        <w:tc>
          <w:tcPr>
            <w:tcW w:w="2338" w:type="dxa"/>
            <w:vAlign w:val="center"/>
          </w:tcPr>
          <w:p w14:paraId="5FBBACAE" w14:textId="3174C515" w:rsidR="00C47772" w:rsidRDefault="00C47772" w:rsidP="00C47772">
            <w:pPr>
              <w:jc w:val="center"/>
            </w:pPr>
            <w:r>
              <w:t>0.285</w:t>
            </w:r>
          </w:p>
        </w:tc>
        <w:tc>
          <w:tcPr>
            <w:tcW w:w="2338" w:type="dxa"/>
            <w:vAlign w:val="center"/>
          </w:tcPr>
          <w:p w14:paraId="3DDC8BBE" w14:textId="259A0126" w:rsidR="00C47772" w:rsidRDefault="00C47772" w:rsidP="00C47772">
            <w:pPr>
              <w:jc w:val="center"/>
            </w:pPr>
            <w:r>
              <w:t>0.280</w:t>
            </w:r>
          </w:p>
        </w:tc>
        <w:tc>
          <w:tcPr>
            <w:tcW w:w="2338" w:type="dxa"/>
            <w:vAlign w:val="center"/>
          </w:tcPr>
          <w:p w14:paraId="0567DB0B" w14:textId="2962CA94" w:rsidR="00C47772" w:rsidRDefault="00C47772" w:rsidP="00C47772">
            <w:pPr>
              <w:jc w:val="center"/>
            </w:pPr>
            <w:r>
              <w:t>-0.0055</w:t>
            </w:r>
          </w:p>
        </w:tc>
      </w:tr>
      <w:tr w:rsidR="00C47772" w14:paraId="2457C3B9" w14:textId="7C4AF3A2" w:rsidTr="00C47772">
        <w:trPr>
          <w:jc w:val="center"/>
        </w:trPr>
        <w:tc>
          <w:tcPr>
            <w:tcW w:w="2336" w:type="dxa"/>
            <w:vAlign w:val="center"/>
          </w:tcPr>
          <w:p w14:paraId="347E2475" w14:textId="796E2B13" w:rsidR="00C47772" w:rsidRDefault="00C47772" w:rsidP="00C47772">
            <w:pPr>
              <w:jc w:val="center"/>
            </w:pPr>
            <w:r>
              <w:t>Poorly controlled</w:t>
            </w:r>
          </w:p>
        </w:tc>
        <w:tc>
          <w:tcPr>
            <w:tcW w:w="2338" w:type="dxa"/>
            <w:vAlign w:val="center"/>
          </w:tcPr>
          <w:p w14:paraId="66497EBC" w14:textId="12214687" w:rsidR="00C47772" w:rsidRDefault="00C47772" w:rsidP="00C47772">
            <w:pPr>
              <w:jc w:val="center"/>
            </w:pPr>
            <w:r>
              <w:t>0.194</w:t>
            </w:r>
          </w:p>
        </w:tc>
        <w:tc>
          <w:tcPr>
            <w:tcW w:w="2338" w:type="dxa"/>
            <w:vAlign w:val="center"/>
          </w:tcPr>
          <w:p w14:paraId="2C8FD128" w14:textId="7B869C75" w:rsidR="00C47772" w:rsidRDefault="00C47772" w:rsidP="00C47772">
            <w:pPr>
              <w:jc w:val="center"/>
            </w:pPr>
            <w:r>
              <w:t>0.196</w:t>
            </w:r>
          </w:p>
        </w:tc>
        <w:tc>
          <w:tcPr>
            <w:tcW w:w="2338" w:type="dxa"/>
            <w:vAlign w:val="center"/>
          </w:tcPr>
          <w:p w14:paraId="6271885C" w14:textId="1C98DA86" w:rsidR="00C47772" w:rsidRDefault="00C47772" w:rsidP="00C47772">
            <w:pPr>
              <w:jc w:val="center"/>
            </w:pPr>
            <w:r>
              <w:t>0.0016</w:t>
            </w:r>
          </w:p>
        </w:tc>
      </w:tr>
      <w:tr w:rsidR="00C47772" w14:paraId="4DF32823" w14:textId="38890AAA" w:rsidTr="00C47772">
        <w:trPr>
          <w:jc w:val="center"/>
        </w:trPr>
        <w:tc>
          <w:tcPr>
            <w:tcW w:w="2336" w:type="dxa"/>
            <w:vAlign w:val="center"/>
          </w:tcPr>
          <w:p w14:paraId="55FC6207" w14:textId="0368FB99" w:rsidR="00C47772" w:rsidRDefault="00C47772" w:rsidP="00C47772">
            <w:pPr>
              <w:jc w:val="center"/>
            </w:pPr>
            <w:r>
              <w:t>Not controlled at all</w:t>
            </w:r>
          </w:p>
        </w:tc>
        <w:tc>
          <w:tcPr>
            <w:tcW w:w="2338" w:type="dxa"/>
            <w:vAlign w:val="center"/>
          </w:tcPr>
          <w:p w14:paraId="4E498DDE" w14:textId="2F8F421A" w:rsidR="00C47772" w:rsidRDefault="00C47772" w:rsidP="00C47772">
            <w:pPr>
              <w:jc w:val="center"/>
            </w:pPr>
            <w:r>
              <w:t>0.039</w:t>
            </w:r>
          </w:p>
        </w:tc>
        <w:tc>
          <w:tcPr>
            <w:tcW w:w="2338" w:type="dxa"/>
            <w:vAlign w:val="center"/>
          </w:tcPr>
          <w:p w14:paraId="76D469FE" w14:textId="329A117D" w:rsidR="00C47772" w:rsidRDefault="00C47772" w:rsidP="00C47772">
            <w:pPr>
              <w:jc w:val="center"/>
            </w:pPr>
            <w:r>
              <w:t>0.061</w:t>
            </w:r>
          </w:p>
        </w:tc>
        <w:tc>
          <w:tcPr>
            <w:tcW w:w="2338" w:type="dxa"/>
            <w:vAlign w:val="center"/>
          </w:tcPr>
          <w:p w14:paraId="7C6ADC0B" w14:textId="2F041342" w:rsidR="00C47772" w:rsidRDefault="00C47772" w:rsidP="00C47772">
            <w:pPr>
              <w:jc w:val="center"/>
            </w:pPr>
            <w:r>
              <w:t>0.0222</w:t>
            </w:r>
          </w:p>
        </w:tc>
      </w:tr>
      <w:tr w:rsidR="00C47772" w14:paraId="621D9DD2" w14:textId="2A888C5B" w:rsidTr="00C47772">
        <w:trPr>
          <w:jc w:val="center"/>
        </w:trPr>
        <w:tc>
          <w:tcPr>
            <w:tcW w:w="2336" w:type="dxa"/>
            <w:vAlign w:val="center"/>
          </w:tcPr>
          <w:p w14:paraId="0457B217" w14:textId="5384238D" w:rsidR="00C47772" w:rsidRPr="00C47772" w:rsidRDefault="00C47772" w:rsidP="00C47772">
            <w:pPr>
              <w:jc w:val="center"/>
              <w:rPr>
                <w:i/>
                <w:iCs/>
              </w:rPr>
            </w:pPr>
            <w:r w:rsidRPr="00C47772">
              <w:rPr>
                <w:i/>
                <w:iCs/>
              </w:rPr>
              <w:t>Sum</w:t>
            </w:r>
          </w:p>
        </w:tc>
        <w:tc>
          <w:tcPr>
            <w:tcW w:w="2338" w:type="dxa"/>
            <w:vAlign w:val="center"/>
          </w:tcPr>
          <w:p w14:paraId="3357DAFF" w14:textId="752A35DC" w:rsidR="00C47772" w:rsidRPr="00C47772" w:rsidRDefault="00C47772" w:rsidP="00C47772">
            <w:pPr>
              <w:jc w:val="center"/>
              <w:rPr>
                <w:i/>
                <w:iCs/>
              </w:rPr>
            </w:pPr>
            <w:r w:rsidRPr="00C47772">
              <w:rPr>
                <w:i/>
                <w:iCs/>
              </w:rPr>
              <w:t>1.000</w:t>
            </w:r>
          </w:p>
        </w:tc>
        <w:tc>
          <w:tcPr>
            <w:tcW w:w="2338" w:type="dxa"/>
            <w:vAlign w:val="center"/>
          </w:tcPr>
          <w:p w14:paraId="4C793CC8" w14:textId="5B46F578" w:rsidR="00C47772" w:rsidRPr="00C47772" w:rsidRDefault="00C47772" w:rsidP="00C47772">
            <w:pPr>
              <w:jc w:val="center"/>
              <w:rPr>
                <w:i/>
                <w:iCs/>
              </w:rPr>
            </w:pPr>
            <w:r w:rsidRPr="00C47772">
              <w:rPr>
                <w:i/>
                <w:iCs/>
              </w:rPr>
              <w:t>1.000</w:t>
            </w:r>
          </w:p>
        </w:tc>
        <w:tc>
          <w:tcPr>
            <w:tcW w:w="2338" w:type="dxa"/>
            <w:vAlign w:val="center"/>
          </w:tcPr>
          <w:p w14:paraId="537D4A5C" w14:textId="4A6396E1" w:rsidR="00C47772" w:rsidRPr="00C47772" w:rsidRDefault="00C47772" w:rsidP="00C47772">
            <w:pPr>
              <w:jc w:val="center"/>
              <w:rPr>
                <w:i/>
                <w:iCs/>
              </w:rPr>
            </w:pPr>
            <w:r w:rsidRPr="00C47772">
              <w:rPr>
                <w:i/>
                <w:iCs/>
              </w:rPr>
              <w:t>0.0476</w:t>
            </w:r>
          </w:p>
        </w:tc>
      </w:tr>
    </w:tbl>
    <w:p w14:paraId="1A11ADF5" w14:textId="4FDD78E4" w:rsidR="00A56F2E" w:rsidRDefault="00C47772">
      <w:r>
        <w:t xml:space="preserve"> </w:t>
      </w:r>
    </w:p>
    <w:p w14:paraId="25EBBDBF" w14:textId="7A72C586" w:rsidR="003B62DE" w:rsidRDefault="000A553A">
      <w:r>
        <w:t xml:space="preserve">We were able to identify </w:t>
      </w:r>
      <w:commentRangeStart w:id="3"/>
      <w:r>
        <w:t xml:space="preserve">one empirical study </w:t>
      </w:r>
      <w:commentRangeEnd w:id="3"/>
      <w:r w:rsidR="00D85617">
        <w:rPr>
          <w:rStyle w:val="CommentReference"/>
        </w:rPr>
        <w:commentReference w:id="3"/>
      </w:r>
      <w:r>
        <w:t xml:space="preserve">which reported a Markov transition probability matrix for 3-levels of asthma control. However, this model predicted a high proportion of uncontrolled asthma at equilibrium, with the probability of becoming and remaining uncontrolled being substantially higher than in our calibrated model (the probability of remaining controlled was similar). These 3-state Markov probabilities were based on several clinical trials assessing various asthma therapies, which might suggest poorer control </w:t>
      </w:r>
      <w:r w:rsidR="00D85617">
        <w:t>and/or more severe asthma</w:t>
      </w:r>
      <w:r>
        <w:t xml:space="preserve"> in the</w:t>
      </w:r>
      <w:r w:rsidR="00D85617">
        <w:t xml:space="preserve"> study</w:t>
      </w:r>
      <w:r>
        <w:t xml:space="preserve"> sample that is not comparable to the general population. </w:t>
      </w:r>
      <w:r w:rsidR="00D85617">
        <w:t xml:space="preserve">As such, we did not do further calibration on transition probabilities. </w:t>
      </w:r>
    </w:p>
    <w:sectPr w:rsidR="003B62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ya, Sigal" w:date="2023-05-31T02:41:00Z" w:initials="MS">
    <w:p w14:paraId="01566E11" w14:textId="40288197" w:rsidR="000A553A" w:rsidRDefault="000A553A">
      <w:pPr>
        <w:pStyle w:val="CommentText"/>
      </w:pPr>
      <w:r>
        <w:rPr>
          <w:rStyle w:val="CommentReference"/>
        </w:rPr>
        <w:annotationRef/>
      </w:r>
      <w:r>
        <w:t>Cite 2-3 of these (include Bateman)</w:t>
      </w:r>
    </w:p>
  </w:comment>
  <w:comment w:id="1" w:author="Maya, Sigal" w:date="2023-05-31T02:50:00Z" w:initials="MS">
    <w:p w14:paraId="35B37303" w14:textId="536401A1" w:rsidR="00D85617" w:rsidRDefault="00D85617">
      <w:pPr>
        <w:pStyle w:val="CommentText"/>
      </w:pPr>
      <w:r>
        <w:rPr>
          <w:rStyle w:val="CommentReference"/>
        </w:rPr>
        <w:annotationRef/>
      </w:r>
      <w:r>
        <w:t>Cite GINA report</w:t>
      </w:r>
    </w:p>
  </w:comment>
  <w:comment w:id="2" w:author="Maya, Sigal" w:date="2023-05-31T02:50:00Z" w:initials="MS">
    <w:p w14:paraId="3E9F4F03" w14:textId="66278281" w:rsidR="00D85617" w:rsidRDefault="00D85617">
      <w:pPr>
        <w:pStyle w:val="CommentText"/>
      </w:pPr>
      <w:r>
        <w:rPr>
          <w:rStyle w:val="CommentReference"/>
        </w:rPr>
        <w:annotationRef/>
      </w:r>
      <w:r>
        <w:t>Cite Schatz, Soler</w:t>
      </w:r>
    </w:p>
  </w:comment>
  <w:comment w:id="3" w:author="Maya, Sigal" w:date="2023-05-31T02:51:00Z" w:initials="MS">
    <w:p w14:paraId="14C68BEC" w14:textId="544C629B" w:rsidR="00D85617" w:rsidRDefault="00D85617">
      <w:pPr>
        <w:pStyle w:val="CommentText"/>
      </w:pPr>
      <w:r>
        <w:rPr>
          <w:rStyle w:val="CommentReference"/>
        </w:rPr>
        <w:annotationRef/>
      </w:r>
      <w:r>
        <w:t>Bateman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66E11" w15:done="0"/>
  <w15:commentEx w15:paraId="35B37303" w15:done="0"/>
  <w15:commentEx w15:paraId="3E9F4F03" w15:done="0"/>
  <w15:commentEx w15:paraId="14C68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13243" w16cex:dateUtc="2023-05-31T09:41:00Z"/>
  <w16cex:commentExtensible w16cex:durableId="2821347B" w16cex:dateUtc="2023-05-31T09:50:00Z"/>
  <w16cex:commentExtensible w16cex:durableId="28213489" w16cex:dateUtc="2023-05-31T09:50:00Z"/>
  <w16cex:commentExtensible w16cex:durableId="282134A2" w16cex:dateUtc="2023-05-31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66E11" w16cid:durableId="28213243"/>
  <w16cid:commentId w16cid:paraId="35B37303" w16cid:durableId="2821347B"/>
  <w16cid:commentId w16cid:paraId="3E9F4F03" w16cid:durableId="28213489"/>
  <w16cid:commentId w16cid:paraId="14C68BEC" w16cid:durableId="282134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BF3ED" w14:textId="77777777" w:rsidR="008D5B5D" w:rsidRDefault="008D5B5D" w:rsidP="000A553A">
      <w:pPr>
        <w:spacing w:after="0" w:line="240" w:lineRule="auto"/>
      </w:pPr>
      <w:r>
        <w:separator/>
      </w:r>
    </w:p>
  </w:endnote>
  <w:endnote w:type="continuationSeparator" w:id="0">
    <w:p w14:paraId="0E223CDD" w14:textId="77777777" w:rsidR="008D5B5D" w:rsidRDefault="008D5B5D" w:rsidP="000A5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6C69B" w14:textId="77777777" w:rsidR="008D5B5D" w:rsidRDefault="008D5B5D" w:rsidP="000A553A">
      <w:pPr>
        <w:spacing w:after="0" w:line="240" w:lineRule="auto"/>
      </w:pPr>
      <w:r>
        <w:separator/>
      </w:r>
    </w:p>
  </w:footnote>
  <w:footnote w:type="continuationSeparator" w:id="0">
    <w:p w14:paraId="4ED5D4D0" w14:textId="77777777" w:rsidR="008D5B5D" w:rsidRDefault="008D5B5D" w:rsidP="000A553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ya, Sigal">
    <w15:presenceInfo w15:providerId="AD" w15:userId="S::Sigal.Maya@ucsf.edu::f657d6ed-98b1-42ba-bcf5-d4c3f3d19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DE"/>
    <w:rsid w:val="000A553A"/>
    <w:rsid w:val="003B4092"/>
    <w:rsid w:val="003B62DE"/>
    <w:rsid w:val="004D529F"/>
    <w:rsid w:val="006D73EC"/>
    <w:rsid w:val="008D5B5D"/>
    <w:rsid w:val="00A56F2E"/>
    <w:rsid w:val="00C47772"/>
    <w:rsid w:val="00C63ABB"/>
    <w:rsid w:val="00D8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FF66"/>
  <w15:chartTrackingRefBased/>
  <w15:docId w15:val="{10D13509-8EB2-4FFA-90C4-268D107F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7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A55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553A"/>
    <w:rPr>
      <w:sz w:val="20"/>
      <w:szCs w:val="20"/>
    </w:rPr>
  </w:style>
  <w:style w:type="character" w:styleId="EndnoteReference">
    <w:name w:val="endnote reference"/>
    <w:basedOn w:val="DefaultParagraphFont"/>
    <w:uiPriority w:val="99"/>
    <w:semiHidden/>
    <w:unhideWhenUsed/>
    <w:rsid w:val="000A553A"/>
    <w:rPr>
      <w:vertAlign w:val="superscript"/>
    </w:rPr>
  </w:style>
  <w:style w:type="character" w:styleId="CommentReference">
    <w:name w:val="annotation reference"/>
    <w:basedOn w:val="DefaultParagraphFont"/>
    <w:uiPriority w:val="99"/>
    <w:semiHidden/>
    <w:unhideWhenUsed/>
    <w:rsid w:val="000A553A"/>
    <w:rPr>
      <w:sz w:val="16"/>
      <w:szCs w:val="16"/>
    </w:rPr>
  </w:style>
  <w:style w:type="paragraph" w:styleId="CommentText">
    <w:name w:val="annotation text"/>
    <w:basedOn w:val="Normal"/>
    <w:link w:val="CommentTextChar"/>
    <w:uiPriority w:val="99"/>
    <w:semiHidden/>
    <w:unhideWhenUsed/>
    <w:rsid w:val="000A553A"/>
    <w:pPr>
      <w:spacing w:line="240" w:lineRule="auto"/>
    </w:pPr>
    <w:rPr>
      <w:sz w:val="20"/>
      <w:szCs w:val="20"/>
    </w:rPr>
  </w:style>
  <w:style w:type="character" w:customStyle="1" w:styleId="CommentTextChar">
    <w:name w:val="Comment Text Char"/>
    <w:basedOn w:val="DefaultParagraphFont"/>
    <w:link w:val="CommentText"/>
    <w:uiPriority w:val="99"/>
    <w:semiHidden/>
    <w:rsid w:val="000A553A"/>
    <w:rPr>
      <w:sz w:val="20"/>
      <w:szCs w:val="20"/>
    </w:rPr>
  </w:style>
  <w:style w:type="paragraph" w:styleId="CommentSubject">
    <w:name w:val="annotation subject"/>
    <w:basedOn w:val="CommentText"/>
    <w:next w:val="CommentText"/>
    <w:link w:val="CommentSubjectChar"/>
    <w:uiPriority w:val="99"/>
    <w:semiHidden/>
    <w:unhideWhenUsed/>
    <w:rsid w:val="000A553A"/>
    <w:rPr>
      <w:b/>
      <w:bCs/>
    </w:rPr>
  </w:style>
  <w:style w:type="character" w:customStyle="1" w:styleId="CommentSubjectChar">
    <w:name w:val="Comment Subject Char"/>
    <w:basedOn w:val="CommentTextChar"/>
    <w:link w:val="CommentSubject"/>
    <w:uiPriority w:val="99"/>
    <w:semiHidden/>
    <w:rsid w:val="000A55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457F8-080C-4A6D-8BCC-CF1F7B77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Sigal</dc:creator>
  <cp:keywords/>
  <dc:description/>
  <cp:lastModifiedBy>Maya, Sigal</cp:lastModifiedBy>
  <cp:revision>2</cp:revision>
  <dcterms:created xsi:type="dcterms:W3CDTF">2023-05-31T08:23:00Z</dcterms:created>
  <dcterms:modified xsi:type="dcterms:W3CDTF">2023-05-31T09:51:00Z</dcterms:modified>
</cp:coreProperties>
</file>