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FB540" w14:textId="77777777" w:rsidR="00E1325A" w:rsidRDefault="00000000">
      <w:pPr>
        <w:pStyle w:val="Heading1"/>
      </w:pPr>
      <w:bookmarkStart w:id="0" w:name="gram-calibration-and-validation-protocol"/>
      <w:r>
        <w:t>GRAM Calibration and Validation Protocol</w:t>
      </w:r>
    </w:p>
    <w:p w14:paraId="608921D4" w14:textId="77777777" w:rsidR="00E1325A" w:rsidRDefault="00000000">
      <w:pPr>
        <w:pStyle w:val="Heading2"/>
      </w:pPr>
      <w:bookmarkStart w:id="1" w:name="overview"/>
      <w:r>
        <w:t>1. Overview</w:t>
      </w:r>
    </w:p>
    <w:p w14:paraId="07E3AA18" w14:textId="77777777" w:rsidR="00E1325A" w:rsidRDefault="00000000">
      <w:pPr>
        <w:pStyle w:val="FirstParagraph"/>
      </w:pPr>
      <w:r>
        <w:t>This document describes the calibration and validation protocol for GRAM. The protocol covers: (1) model calibration via full factorial analysis, (2) internal validation, and (3) external validation.</w:t>
      </w:r>
    </w:p>
    <w:p w14:paraId="440119A9" w14:textId="77777777" w:rsidR="00E1325A" w:rsidRDefault="00E9386D">
      <w:r>
        <w:pict w14:anchorId="38F5B73E">
          <v:rect id="Horizontal Line 1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2320C" w14:textId="77777777" w:rsidR="00E1325A" w:rsidRDefault="00000000">
      <w:pPr>
        <w:pStyle w:val="Heading2"/>
      </w:pPr>
      <w:bookmarkStart w:id="2" w:name="calibration"/>
      <w:bookmarkEnd w:id="1"/>
      <w:r>
        <w:t>2. Calibration</w:t>
      </w:r>
    </w:p>
    <w:p w14:paraId="7B86E566" w14:textId="77777777" w:rsidR="00E1325A" w:rsidRDefault="00000000">
      <w:pPr>
        <w:pStyle w:val="Heading3"/>
      </w:pPr>
      <w:bookmarkStart w:id="3" w:name="calibration-parameters"/>
      <w:r>
        <w:t>2.1 Calibration Parameters</w:t>
      </w:r>
    </w:p>
    <w:p w14:paraId="011B819B" w14:textId="45AA89A4" w:rsidR="00E1325A" w:rsidRDefault="00000000">
      <w:pPr>
        <w:pStyle w:val="FirstParagraph"/>
      </w:pPr>
      <w:r>
        <w:t xml:space="preserve">Three parameters </w:t>
      </w:r>
      <w:r w:rsidR="003A0025">
        <w:t>will be</w:t>
      </w:r>
      <w:r>
        <w:t xml:space="preserve"> calibrated simultaneously via full factorial analysis:</w:t>
      </w:r>
    </w:p>
    <w:p w14:paraId="1747BB0D" w14:textId="38EDC0C8" w:rsidR="00E1325A" w:rsidRDefault="00000000">
      <w:pPr>
        <w:pStyle w:val="BodyText"/>
      </w:pPr>
      <w:r>
        <w:rPr>
          <w:b/>
          <w:bCs/>
        </w:rPr>
        <w:t>Parameter 1 — Incidence multiplier (</w:t>
      </w:r>
      <w:r>
        <w:rPr>
          <w:rStyle w:val="VerbatimChar"/>
          <w:b/>
          <w:bCs/>
        </w:rPr>
        <w:t>param1</w:t>
      </w:r>
      <w:r>
        <w:rPr>
          <w:b/>
          <w:bCs/>
        </w:rPr>
        <w:t>)</w:t>
      </w:r>
      <w:r>
        <w:t xml:space="preserve"> A scalar applied to the age-specific MCI baseline incidence hazard vector (</w:t>
      </w:r>
      <w:r w:rsidR="00120845">
        <w:t>interpolated</w:t>
      </w:r>
      <w:r>
        <w:t xml:space="preserve"> from Gillis et al. 2019). Its purpose is to remove the average risk factor profile implicitly embedded in the Gillis population, since GRAM applies explicit individual-level hazard ratios for education, income, APOE4, and medical burden</w:t>
      </w:r>
      <w:r w:rsidR="00120845">
        <w:t xml:space="preserve">. </w:t>
      </w:r>
    </w:p>
    <w:p w14:paraId="35DFADDA" w14:textId="717912E2" w:rsidR="00E1325A" w:rsidRDefault="00000000">
      <w:pPr>
        <w:pStyle w:val="Compact"/>
        <w:numPr>
          <w:ilvl w:val="0"/>
          <w:numId w:val="2"/>
        </w:numPr>
      </w:pPr>
      <w:r>
        <w:t xml:space="preserve">Range: </w:t>
      </w:r>
      <w:r>
        <w:rPr>
          <w:b/>
          <w:bCs/>
        </w:rPr>
        <w:t>0.</w:t>
      </w:r>
      <w:r w:rsidR="00120845">
        <w:rPr>
          <w:b/>
          <w:bCs/>
        </w:rPr>
        <w:t>20</w:t>
      </w:r>
      <w:r>
        <w:rPr>
          <w:b/>
          <w:bCs/>
        </w:rPr>
        <w:t xml:space="preserve"> – </w:t>
      </w:r>
      <w:r w:rsidR="00120845">
        <w:rPr>
          <w:b/>
          <w:bCs/>
        </w:rPr>
        <w:t>2</w:t>
      </w:r>
      <w:r>
        <w:rPr>
          <w:b/>
          <w:bCs/>
        </w:rPr>
        <w:t>.</w:t>
      </w:r>
      <w:r w:rsidR="00120845">
        <w:rPr>
          <w:b/>
          <w:bCs/>
        </w:rPr>
        <w:t>85</w:t>
      </w:r>
    </w:p>
    <w:p w14:paraId="611D5827" w14:textId="1EC59C56" w:rsidR="00E1325A" w:rsidRDefault="00000000" w:rsidP="00584DA6">
      <w:pPr>
        <w:pStyle w:val="Compact"/>
        <w:numPr>
          <w:ilvl w:val="0"/>
          <w:numId w:val="2"/>
        </w:numPr>
      </w:pPr>
      <w:r>
        <w:t xml:space="preserve">Theoretical justification: The range is bounded by the net hazard ratio of the most protective vs. most harmful individual risk factor profiles possible in GRAM. The most protective realistic profile (EDU=25, no APOE4, MEDBUR=0, high income) yields a net HR of 0.95^25 × 1.0 × 1.0 × 0.73 = 0.20. The most harmful profile (EDU=8, APOE4 carrier, MEDBUR=15, low income) yields 0.95^8 × 1.18 × 1.09^15 × 1.0 = 2.85. </w:t>
      </w:r>
    </w:p>
    <w:p w14:paraId="3DCBAB22" w14:textId="58D60A90" w:rsidR="00E1325A" w:rsidRDefault="00000000">
      <w:pPr>
        <w:pStyle w:val="FirstParagraph"/>
      </w:pPr>
      <w:r>
        <w:rPr>
          <w:b/>
          <w:bCs/>
        </w:rPr>
        <w:t>Parameter 2a — Progression curvature (</w:t>
      </w:r>
      <w:r>
        <w:rPr>
          <w:rStyle w:val="VerbatimChar"/>
          <w:b/>
          <w:bCs/>
        </w:rPr>
        <w:t>param2a</w:t>
      </w:r>
      <w:r>
        <w:rPr>
          <w:b/>
          <w:bCs/>
        </w:rPr>
        <w:t>)</w:t>
      </w:r>
      <w:r>
        <w:t xml:space="preserve"> We assume that during MCI, the mean annual cognitive impairment progression rate (using CDR-SB) increases with age. This parameter is the exponent in the age-dependent MCI progression rate function</w:t>
      </w:r>
      <w:r w:rsidR="003A0025">
        <w:t>, controlling the shape of the function, as below:</w:t>
      </w:r>
    </w:p>
    <w:p w14:paraId="4970FE75" w14:textId="77777777" w:rsidR="00E1325A" w:rsidRDefault="00000000">
      <w:pPr>
        <w:pStyle w:val="SourceCode"/>
      </w:pPr>
      <w:r>
        <w:rPr>
          <w:rStyle w:val="VerbatimChar"/>
        </w:rPr>
        <w:t>r.CDRslow(age) = seq(0, 1, length.out = 51)^param2a × (param2b × r.CDRslow_mean)</w:t>
      </w:r>
    </w:p>
    <w:p w14:paraId="1117D0AF" w14:textId="77777777" w:rsidR="00E1325A" w:rsidRDefault="00000000">
      <w:pPr>
        <w:pStyle w:val="Compact"/>
        <w:numPr>
          <w:ilvl w:val="0"/>
          <w:numId w:val="3"/>
        </w:numPr>
      </w:pPr>
      <w:r>
        <w:t xml:space="preserve">Range: </w:t>
      </w:r>
      <w:r>
        <w:rPr>
          <w:b/>
          <w:bCs/>
        </w:rPr>
        <w:t>1 – 3</w:t>
      </w:r>
    </w:p>
    <w:p w14:paraId="59AD86DD" w14:textId="77777777" w:rsidR="00E1325A" w:rsidRDefault="00000000">
      <w:pPr>
        <w:pStyle w:val="Compact"/>
        <w:numPr>
          <w:ilvl w:val="0"/>
          <w:numId w:val="3"/>
        </w:numPr>
      </w:pPr>
      <w:r>
        <w:t>Theoretical justification: param2a = 1 produces a linear increase; param2a &lt; 1 produces a concave curve (progression faster at younger ages), which is biologically implausible for a progressive neurodegenerative disease. param2a &gt; 3 implies almost no progression until very old age, which is difficult to justify clinically.</w:t>
      </w:r>
    </w:p>
    <w:p w14:paraId="009B93D5" w14:textId="55755AF5" w:rsidR="00403F66" w:rsidRDefault="00000000" w:rsidP="00403F66">
      <w:pPr>
        <w:pStyle w:val="FirstParagraph"/>
      </w:pPr>
      <w:r>
        <w:rPr>
          <w:b/>
          <w:bCs/>
        </w:rPr>
        <w:lastRenderedPageBreak/>
        <w:t>Parameter 2b — Max progression multiplier (</w:t>
      </w:r>
      <w:r>
        <w:rPr>
          <w:rStyle w:val="VerbatimChar"/>
          <w:b/>
          <w:bCs/>
        </w:rPr>
        <w:t>param2b</w:t>
      </w:r>
      <w:r>
        <w:rPr>
          <w:b/>
          <w:bCs/>
        </w:rPr>
        <w:t>)</w:t>
      </w:r>
      <w:r>
        <w:t xml:space="preserve"> Empirical evidence suggests that the MCI CDR-SB progression rate is less than for dementia. Thus, we </w:t>
      </w:r>
      <w:r w:rsidR="003A0025">
        <w:t xml:space="preserve">will </w:t>
      </w:r>
      <w:r>
        <w:t xml:space="preserve">constrain the maximum progression rate during MCI to no more than the average rate observed during dementia. However, the best fit may be at a lower rate. So, we </w:t>
      </w:r>
      <w:r w:rsidR="003A0025">
        <w:t xml:space="preserve">will </w:t>
      </w:r>
      <w:r>
        <w:t xml:space="preserve">explore a range. </w:t>
      </w:r>
    </w:p>
    <w:p w14:paraId="501984C2" w14:textId="734386E9" w:rsidR="00E1325A" w:rsidRDefault="00000000" w:rsidP="00403F66">
      <w:pPr>
        <w:pStyle w:val="FirstParagraph"/>
        <w:numPr>
          <w:ilvl w:val="0"/>
          <w:numId w:val="8"/>
        </w:numPr>
      </w:pPr>
      <w:r>
        <w:t xml:space="preserve">Range: </w:t>
      </w:r>
      <w:r>
        <w:rPr>
          <w:b/>
          <w:bCs/>
        </w:rPr>
        <w:t>1 – 2.67</w:t>
      </w:r>
    </w:p>
    <w:p w14:paraId="7E06DF6A" w14:textId="4D476620" w:rsidR="00E1325A" w:rsidRDefault="00000000">
      <w:pPr>
        <w:pStyle w:val="Compact"/>
        <w:numPr>
          <w:ilvl w:val="0"/>
          <w:numId w:val="4"/>
        </w:numPr>
      </w:pPr>
      <w:r>
        <w:t xml:space="preserve">Theoretical justification: </w:t>
      </w:r>
      <w:r w:rsidR="003A0025">
        <w:t>T</w:t>
      </w:r>
      <w:r>
        <w:t>he floor of 1 anchors the maximum rate at the published mean MCI progression rate. The ceiling of 2.67 corresponds to a maximum rate of 1.6 CDR-SB points/year, which is equal to the mean dementia progression rate.</w:t>
      </w:r>
    </w:p>
    <w:p w14:paraId="68B5D6A6" w14:textId="77777777" w:rsidR="00E1325A" w:rsidRDefault="00000000">
      <w:pPr>
        <w:pStyle w:val="Heading3"/>
      </w:pPr>
      <w:bookmarkStart w:id="4" w:name="calibration-targets"/>
      <w:bookmarkEnd w:id="3"/>
      <w:r>
        <w:t>2.2 Calibration Targets</w:t>
      </w:r>
    </w:p>
    <w:p w14:paraId="22F882C9" w14:textId="534F72B6" w:rsidR="00E1325A" w:rsidRDefault="00000000">
      <w:pPr>
        <w:pStyle w:val="FirstParagraph"/>
      </w:pPr>
      <w:r>
        <w:t xml:space="preserve">Two population-level targets </w:t>
      </w:r>
      <w:r w:rsidR="003A0025">
        <w:t>will be</w:t>
      </w:r>
      <w:r>
        <w:t xml:space="preserve"> used</w:t>
      </w:r>
      <w:r w:rsidR="003A0025">
        <w:t>:</w:t>
      </w:r>
    </w:p>
    <w:p w14:paraId="32BE22C0" w14:textId="5A9F570C" w:rsidR="00E1325A" w:rsidRDefault="00000000">
      <w:pPr>
        <w:numPr>
          <w:ilvl w:val="0"/>
          <w:numId w:val="5"/>
        </w:numPr>
      </w:pPr>
      <w:r>
        <w:rPr>
          <w:b/>
          <w:bCs/>
        </w:rPr>
        <w:t>Prevalence of MCI and dementia by age</w:t>
      </w:r>
      <w:r>
        <w:t xml:space="preserve">: three data points at ages 65, 75, and 88 (roughly mid-points of 10-year age bands) for MCI prevalence from a meta-analysis independent of model inputs (Bai et al); six data points at ages 67, 72, 77, 82, 87, and 95 (roughly mid-points of 5-year age bands) for dementia prevalence from Manly et al (cohort study). Age-band mid-points </w:t>
      </w:r>
      <w:r w:rsidR="003A0025">
        <w:t>will be</w:t>
      </w:r>
      <w:r>
        <w:t xml:space="preserve"> used as an approximation; this introduces slight underestimation of band averages when prevalence rises steeply with age.</w:t>
      </w:r>
    </w:p>
    <w:p w14:paraId="4347EF66" w14:textId="00B74398" w:rsidR="00E1325A" w:rsidRDefault="00000000">
      <w:pPr>
        <w:numPr>
          <w:ilvl w:val="0"/>
          <w:numId w:val="5"/>
        </w:numPr>
      </w:pPr>
      <w:r>
        <w:rPr>
          <w:b/>
          <w:bCs/>
        </w:rPr>
        <w:t>All-cause mortality by 1-year age bands</w:t>
      </w:r>
      <w:r>
        <w:t>: age-specific annual all-cause mortality rates derived from actuarial life tables published by the Social Security Administration.</w:t>
      </w:r>
    </w:p>
    <w:p w14:paraId="39B7F91E" w14:textId="77777777" w:rsidR="00E1325A" w:rsidRDefault="00000000">
      <w:pPr>
        <w:pStyle w:val="Heading3"/>
      </w:pPr>
      <w:bookmarkStart w:id="5" w:name="goodness-of-fit-measure"/>
      <w:bookmarkEnd w:id="4"/>
      <w:r>
        <w:t>2.3 Goodness-of-Fit Measure</w:t>
      </w:r>
    </w:p>
    <w:p w14:paraId="61DCBE4D" w14:textId="5BBDF52C" w:rsidR="00E1325A" w:rsidRPr="001616B4" w:rsidRDefault="00000000">
      <w:pPr>
        <w:pStyle w:val="FirstParagraph"/>
      </w:pPr>
      <w:r>
        <w:t xml:space="preserve">The goodness-of-fit (GOF) </w:t>
      </w:r>
      <w:r w:rsidR="003A0025">
        <w:t xml:space="preserve">will be measured with </w:t>
      </w:r>
      <w:r>
        <w:t>the normalized Weighted Sum of Squared Differences (WSSD):</w:t>
      </w:r>
    </w:p>
    <w:p w14:paraId="6C7D77F9" w14:textId="77777777" w:rsidR="00E1325A" w:rsidRDefault="00000000">
      <w:pPr>
        <w:pStyle w:val="BodyText"/>
      </w:pPr>
      <w:r>
        <w:t>For each data point within a target:</w:t>
      </w:r>
    </w:p>
    <w:p w14:paraId="247069CB" w14:textId="77777777" w:rsidR="00E1325A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contribution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model output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nor/>
                        </m:rPr>
                        <m:t>observed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7975E9A" w14:textId="77777777" w:rsidR="00E1325A" w:rsidRDefault="00000000">
      <w:pPr>
        <w:pStyle w:val="FirstParagraph"/>
      </w:pPr>
      <w:r>
        <w:t>where SE is the standard error of the published estimate. If only 95% CI is available: SE = (upper − lower) / 3.92.</w:t>
      </w:r>
    </w:p>
    <w:p w14:paraId="5514E2DB" w14:textId="48144EF4" w:rsidR="00E1325A" w:rsidRDefault="001616B4">
      <w:pPr>
        <w:pStyle w:val="BodyText"/>
      </w:pPr>
      <w:r>
        <w:t xml:space="preserve">Given the different number of data points for each target, the WSSD </w:t>
      </w:r>
      <w:r w:rsidR="003A0025">
        <w:t>will be</w:t>
      </w:r>
      <w:r>
        <w:t xml:space="preserve"> computed separately for each target, then normalized by the number of data points within that target before summing:</w:t>
      </w:r>
    </w:p>
    <w:p w14:paraId="1D4FCC25" w14:textId="04365E51" w:rsidR="00E1325A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Total GOF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WSSD</m:t>
                  </m:r>
                </m:e>
                <m:sub>
                  <m:r>
                    <m:rPr>
                      <m:nor/>
                    </m:rPr>
                    <m:t>prev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_mci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prev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_mci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WSSD</m:t>
                  </m:r>
                </m:e>
                <m:sub>
                  <m:r>
                    <m:rPr>
                      <m:nor/>
                    </m:rPr>
                    <m:t>prev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_dem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prev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>_dem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WSSD</m:t>
                  </m:r>
                </m:e>
                <m:sub>
                  <m:r>
                    <m:rPr>
                      <m:nor/>
                    </m:rPr>
                    <m:t>mort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mort</m:t>
                  </m:r>
                </m:sub>
              </m:sSub>
            </m:den>
          </m:f>
        </m:oMath>
      </m:oMathPara>
    </w:p>
    <w:p w14:paraId="480E121F" w14:textId="13AFED1C" w:rsidR="00E1325A" w:rsidRDefault="00000000">
      <w:pPr>
        <w:pStyle w:val="BodyText"/>
      </w:pPr>
      <w:r>
        <w:t xml:space="preserve">The parameter combination yielding the lowest total GOF </w:t>
      </w:r>
      <w:r w:rsidR="003A0025">
        <w:t>will be</w:t>
      </w:r>
      <w:r>
        <w:t xml:space="preserve"> selected as the calibrated parameter set.</w:t>
      </w:r>
    </w:p>
    <w:p w14:paraId="5ED9F8D7" w14:textId="16B1A3E4" w:rsidR="00E1325A" w:rsidRDefault="00000000">
      <w:pPr>
        <w:pStyle w:val="Heading3"/>
      </w:pPr>
      <w:bookmarkStart w:id="6" w:name="full-factorial-design"/>
      <w:bookmarkEnd w:id="5"/>
      <w:r>
        <w:lastRenderedPageBreak/>
        <w:t xml:space="preserve">2.4 Full Factorial </w:t>
      </w:r>
      <w:r w:rsidR="003A0025">
        <w:t>Analysis</w:t>
      </w:r>
    </w:p>
    <w:p w14:paraId="6B2C382E" w14:textId="020A7BD5" w:rsidR="00E1325A" w:rsidRDefault="00000000">
      <w:pPr>
        <w:pStyle w:val="FirstParagraph"/>
      </w:pPr>
      <w:r>
        <w:t xml:space="preserve">All combinations of parameter values across their ranges </w:t>
      </w:r>
      <w:r w:rsidR="003A0025">
        <w:t>will be</w:t>
      </w:r>
      <w:r>
        <w:t xml:space="preserve"> evaluated. Initial calibration </w:t>
      </w:r>
      <w:r w:rsidR="003A0025">
        <w:t>will use a coarse</w:t>
      </w:r>
      <w:r>
        <w:t xml:space="preserve"> </w:t>
      </w:r>
      <w:r w:rsidR="003A0025">
        <w:t xml:space="preserve">grid with </w:t>
      </w:r>
      <w:r>
        <w:t>6 steps per parameter (216 total combinations), parallelized across available CPU cores. If the optimum falls at a grid boundary, the</w:t>
      </w:r>
      <w:r w:rsidR="003A0025">
        <w:t xml:space="preserve"> analysis will be repeated with an</w:t>
      </w:r>
      <w:r>
        <w:t xml:space="preserve"> </w:t>
      </w:r>
      <w:r w:rsidR="003A0025">
        <w:t>expanded range</w:t>
      </w:r>
      <w:r>
        <w:t xml:space="preserve">. If an interior solution is found but the optimum </w:t>
      </w:r>
      <w:r w:rsidR="003A0025">
        <w:t>yields model estimates</w:t>
      </w:r>
      <w:r>
        <w:t xml:space="preserve"> outside of published confidence intervals (for prevalence) or more than 10-percentage points away (for mortality), a second pass </w:t>
      </w:r>
      <w:r w:rsidR="003A0025">
        <w:t>will be</w:t>
      </w:r>
      <w:r>
        <w:t xml:space="preserve"> done with a higher grid resolution </w:t>
      </w:r>
      <w:r w:rsidR="003A0025">
        <w:t>and</w:t>
      </w:r>
      <w:r>
        <w:t xml:space="preserve"> narrower range</w:t>
      </w:r>
      <w:r w:rsidR="003A0025">
        <w:t xml:space="preserve"> (+/- 30% of the initial best value)</w:t>
      </w:r>
      <w:r>
        <w:t>.</w:t>
      </w:r>
    </w:p>
    <w:p w14:paraId="1A742204" w14:textId="17F224F5" w:rsidR="00E1325A" w:rsidRDefault="00000000">
      <w:pPr>
        <w:pStyle w:val="BodyText"/>
      </w:pPr>
      <w:r>
        <w:t xml:space="preserve">Each run </w:t>
      </w:r>
      <w:r w:rsidR="003A0025">
        <w:t>will use</w:t>
      </w:r>
      <w:r>
        <w:t xml:space="preserve"> n = 10,000 individuals</w:t>
      </w:r>
      <w:r w:rsidR="003A0025">
        <w:t xml:space="preserve"> to reduce run time while maintaining stable model estimates.</w:t>
      </w:r>
    </w:p>
    <w:p w14:paraId="7449BD1B" w14:textId="77777777" w:rsidR="00E1325A" w:rsidRDefault="00E9386D">
      <w:r>
        <w:pict w14:anchorId="789C4667">
          <v:rect id="Horizontal Line 2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E8A3DA" w14:textId="77777777" w:rsidR="00E1325A" w:rsidRDefault="00000000">
      <w:pPr>
        <w:pStyle w:val="Heading2"/>
      </w:pPr>
      <w:bookmarkStart w:id="7" w:name="internal-validation"/>
      <w:bookmarkEnd w:id="2"/>
      <w:bookmarkEnd w:id="6"/>
      <w:r>
        <w:t>3. Internal Validation</w:t>
      </w:r>
    </w:p>
    <w:p w14:paraId="36E2C361" w14:textId="04667563" w:rsidR="00E1325A" w:rsidRDefault="00000000">
      <w:pPr>
        <w:pStyle w:val="FirstParagraph"/>
      </w:pPr>
      <w:r>
        <w:t xml:space="preserve">Internal validation </w:t>
      </w:r>
      <w:r w:rsidR="003A0025">
        <w:t>will assess</w:t>
      </w:r>
      <w:r>
        <w:t xml:space="preserve"> whether the calibrated model produces biologically plausible disease dynamics, distinct from the population-level targets used for calibration.</w:t>
      </w:r>
    </w:p>
    <w:p w14:paraId="346E2A45" w14:textId="77777777" w:rsidR="00E1325A" w:rsidRDefault="00000000">
      <w:pPr>
        <w:pStyle w:val="Heading3"/>
      </w:pPr>
      <w:bookmarkStart w:id="8" w:name="face-validity-checks"/>
      <w:r>
        <w:t>3.1 Face Validity Checks</w:t>
      </w:r>
    </w:p>
    <w:p w14:paraId="01585E3B" w14:textId="7C1E10C7" w:rsidR="00E1325A" w:rsidRDefault="00000000">
      <w:pPr>
        <w:pStyle w:val="FirstParagraph"/>
      </w:pPr>
      <w:r>
        <w:t>The following outputs depend on calibrated parameters but are informative as face validity checks to confirm that calibrated parameter values produce clinically reasonable disease trajectories:</w:t>
      </w:r>
    </w:p>
    <w:p w14:paraId="3623A3A6" w14:textId="77777777" w:rsidR="00E132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Duration in MCI stage</w:t>
      </w:r>
      <w:r>
        <w:t>: depends on param2a and param2b</w:t>
      </w:r>
    </w:p>
    <w:p w14:paraId="1049E336" w14:textId="77777777" w:rsidR="00E132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Average age of MCI onset</w:t>
      </w:r>
      <w:r>
        <w:t>: depends on param1</w:t>
      </w:r>
    </w:p>
    <w:p w14:paraId="3D15107A" w14:textId="77777777" w:rsidR="00E1325A" w:rsidRDefault="00000000">
      <w:pPr>
        <w:pStyle w:val="Heading3"/>
      </w:pPr>
      <w:bookmarkStart w:id="9" w:name="independent-validation-target"/>
      <w:bookmarkEnd w:id="8"/>
      <w:r>
        <w:t>3.2 Independent Validation Target</w:t>
      </w:r>
    </w:p>
    <w:p w14:paraId="6C25DCE1" w14:textId="77777777" w:rsidR="00E1325A" w:rsidRDefault="00000000">
      <w:pPr>
        <w:pStyle w:val="FirstParagraph"/>
      </w:pPr>
      <w:r>
        <w:rPr>
          <w:b/>
          <w:bCs/>
        </w:rPr>
        <w:t>Duration in each dementia stage</w:t>
      </w:r>
      <w:r>
        <w:t xml:space="preserve"> (mild, moderate, severe): the dementia progression rate is fixed from a published paper (mean and SD applied at the individual level) and is not a calibrated parameter. Duration in each dementia stage is therefore independent of the calibrated parameters and constitutes an internal validation test.</w:t>
      </w:r>
    </w:p>
    <w:p w14:paraId="0397854D" w14:textId="77777777" w:rsidR="00E1325A" w:rsidRDefault="00000000">
      <w:pPr>
        <w:pStyle w:val="Heading3"/>
      </w:pPr>
      <w:bookmarkStart w:id="10" w:name="acceptance-criteria"/>
      <w:bookmarkEnd w:id="9"/>
      <w:r>
        <w:t>3.3 Acceptance Criteria</w:t>
      </w:r>
    </w:p>
    <w:p w14:paraId="66E17B1D" w14:textId="3D846026" w:rsidR="00E1325A" w:rsidRDefault="00000000">
      <w:pPr>
        <w:pStyle w:val="FirstParagraph"/>
      </w:pPr>
      <w:r>
        <w:t xml:space="preserve">Face validity checks and internal validation targets </w:t>
      </w:r>
      <w:r w:rsidR="003A0025">
        <w:t>will be</w:t>
      </w:r>
      <w:r>
        <w:t xml:space="preserve"> evaluated qualitatively, based on expert input, given limited flexibility of model after calibration.</w:t>
      </w:r>
    </w:p>
    <w:p w14:paraId="733D04D0" w14:textId="77777777" w:rsidR="00E1325A" w:rsidRDefault="00E9386D">
      <w:r>
        <w:pict w14:anchorId="1C1609BE">
          <v:rect id="Horizontal Line 3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EE9461" w14:textId="77777777" w:rsidR="00E1325A" w:rsidRDefault="00000000">
      <w:pPr>
        <w:pStyle w:val="Heading2"/>
      </w:pPr>
      <w:bookmarkStart w:id="11" w:name="external-validation"/>
      <w:bookmarkEnd w:id="7"/>
      <w:bookmarkEnd w:id="10"/>
      <w:r>
        <w:t>4. External Validation</w:t>
      </w:r>
    </w:p>
    <w:p w14:paraId="09BF079C" w14:textId="2191FFB8" w:rsidR="00E1325A" w:rsidRDefault="00000000">
      <w:pPr>
        <w:pStyle w:val="FirstParagraph"/>
      </w:pPr>
      <w:r>
        <w:t>External validation tests the model’s predictive validity in an independent population not used for calibration or internal validation (e.g., Framingham Heart Study, ARIC, or Mayo Clinic Study of Aging).</w:t>
      </w:r>
    </w:p>
    <w:p w14:paraId="0093B242" w14:textId="77777777" w:rsidR="00E1325A" w:rsidRDefault="00000000">
      <w:pPr>
        <w:pStyle w:val="Heading3"/>
      </w:pPr>
      <w:bookmarkStart w:id="12" w:name="approach"/>
      <w:r>
        <w:lastRenderedPageBreak/>
        <w:t>4.1 Approach</w:t>
      </w:r>
    </w:p>
    <w:p w14:paraId="3D2A4580" w14:textId="16FC4186" w:rsidR="00E1325A" w:rsidRDefault="00000000">
      <w:pPr>
        <w:pStyle w:val="Compact"/>
        <w:numPr>
          <w:ilvl w:val="0"/>
          <w:numId w:val="7"/>
        </w:numPr>
      </w:pPr>
      <w:r>
        <w:t>Define a new starting cohort based on the baseline characteristics of a cohort</w:t>
      </w:r>
    </w:p>
    <w:p w14:paraId="19B909D5" w14:textId="77777777" w:rsidR="00E1325A" w:rsidRDefault="00000000">
      <w:pPr>
        <w:pStyle w:val="Compact"/>
        <w:numPr>
          <w:ilvl w:val="0"/>
          <w:numId w:val="7"/>
        </w:numPr>
      </w:pPr>
      <w:r>
        <w:t>Run GRAM with the calibrated parameter set</w:t>
      </w:r>
    </w:p>
    <w:p w14:paraId="6ABAF682" w14:textId="537C2853" w:rsidR="00E1325A" w:rsidRDefault="00000000">
      <w:pPr>
        <w:pStyle w:val="Compact"/>
        <w:numPr>
          <w:ilvl w:val="0"/>
          <w:numId w:val="7"/>
        </w:numPr>
      </w:pPr>
      <w:r>
        <w:t>Compare model-predicted endpoints to the observed cohort endpoints at the same follow-up duration</w:t>
      </w:r>
    </w:p>
    <w:p w14:paraId="218FDA08" w14:textId="77777777" w:rsidR="00E1325A" w:rsidRDefault="00000000">
      <w:pPr>
        <w:pStyle w:val="Heading3"/>
      </w:pPr>
      <w:bookmarkStart w:id="13" w:name="acceptance-criteria-1"/>
      <w:bookmarkEnd w:id="12"/>
      <w:r>
        <w:t>4.2 Acceptance Criteria</w:t>
      </w:r>
    </w:p>
    <w:p w14:paraId="26AC219A" w14:textId="68AD3359" w:rsidR="00E1325A" w:rsidRDefault="00000000">
      <w:pPr>
        <w:pStyle w:val="FirstParagraph"/>
      </w:pPr>
      <w:r w:rsidRPr="003A0025">
        <w:t xml:space="preserve">Acceptance thresholds for external validation endpoints </w:t>
      </w:r>
      <w:r w:rsidR="003A0025" w:rsidRPr="003A0025">
        <w:t>will be</w:t>
      </w:r>
      <w:r w:rsidRPr="003A0025">
        <w:t xml:space="preserve"> pre-specified. </w:t>
      </w:r>
      <w:r>
        <w:t xml:space="preserve">Primary criterion </w:t>
      </w:r>
      <w:r w:rsidR="003A0025">
        <w:t>will require</w:t>
      </w:r>
      <w:r>
        <w:t xml:space="preserve"> </w:t>
      </w:r>
      <w:r w:rsidR="003A0025">
        <w:t xml:space="preserve">that </w:t>
      </w:r>
      <w:r>
        <w:t xml:space="preserve">the model output </w:t>
      </w:r>
      <w:r w:rsidR="003A0025">
        <w:t>fall</w:t>
      </w:r>
      <w:r>
        <w:t xml:space="preserve"> within the 95% CI of the trial’s observed endpoint. If CI is not available, we will accept absolute difference &lt;10% of the observed value.</w:t>
      </w:r>
    </w:p>
    <w:p w14:paraId="3491C95E" w14:textId="77777777" w:rsidR="00E1325A" w:rsidRDefault="00E9386D">
      <w:r>
        <w:pict w14:anchorId="1C71B984">
          <v:rect id="Horizontal Line 4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E6EC5F" w14:textId="77777777" w:rsidR="00E1325A" w:rsidRDefault="00000000">
      <w:pPr>
        <w:pStyle w:val="FirstParagraph"/>
      </w:pPr>
      <w:r>
        <w:rPr>
          <w:i/>
          <w:iCs/>
        </w:rPr>
        <w:t>Protocol developed June 2026</w:t>
      </w:r>
      <w:bookmarkEnd w:id="0"/>
      <w:bookmarkEnd w:id="11"/>
      <w:bookmarkEnd w:id="13"/>
    </w:p>
    <w:sectPr w:rsidR="00E1325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0FEA2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94A4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D44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84F4D7D"/>
    <w:multiLevelType w:val="multilevel"/>
    <w:tmpl w:val="6694A4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67247316">
    <w:abstractNumId w:val="0"/>
  </w:num>
  <w:num w:numId="2" w16cid:durableId="1302661000">
    <w:abstractNumId w:val="1"/>
  </w:num>
  <w:num w:numId="3" w16cid:durableId="1757555621">
    <w:abstractNumId w:val="1"/>
  </w:num>
  <w:num w:numId="4" w16cid:durableId="748238071">
    <w:abstractNumId w:val="1"/>
  </w:num>
  <w:num w:numId="5" w16cid:durableId="2104102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2364283">
    <w:abstractNumId w:val="1"/>
  </w:num>
  <w:num w:numId="7" w16cid:durableId="1093358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267097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25A"/>
    <w:rsid w:val="000605BD"/>
    <w:rsid w:val="00110627"/>
    <w:rsid w:val="00120845"/>
    <w:rsid w:val="001616B4"/>
    <w:rsid w:val="001E43EA"/>
    <w:rsid w:val="003A0025"/>
    <w:rsid w:val="003D1669"/>
    <w:rsid w:val="00403F66"/>
    <w:rsid w:val="00512D33"/>
    <w:rsid w:val="00584DA6"/>
    <w:rsid w:val="007876F2"/>
    <w:rsid w:val="00875E77"/>
    <w:rsid w:val="008F4068"/>
    <w:rsid w:val="00E1325A"/>
    <w:rsid w:val="00E9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E9FA60B"/>
  <w15:docId w15:val="{C730DA70-F562-9D40-9B68-CCBC252D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Maya, Sigal</cp:lastModifiedBy>
  <cp:revision>4</cp:revision>
  <dcterms:created xsi:type="dcterms:W3CDTF">2026-06-17T20:26:00Z</dcterms:created>
  <dcterms:modified xsi:type="dcterms:W3CDTF">2026-06-30T22:52:00Z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