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E93C9" w14:textId="668BB366" w:rsidR="00AB57C5" w:rsidRDefault="00000000">
      <w:pPr>
        <w:pStyle w:val="Title"/>
      </w:pPr>
      <w:r>
        <w:t xml:space="preserve">GRAM Model: </w:t>
      </w:r>
      <w:r w:rsidR="00415DB5">
        <w:t>Data Needs for Adaptations to Different Settings</w:t>
      </w:r>
    </w:p>
    <w:p w14:paraId="2AE83AC3" w14:textId="77777777" w:rsidR="00AB57C5" w:rsidRDefault="00000000">
      <w:pPr>
        <w:pStyle w:val="FirstParagraph"/>
      </w:pPr>
      <w:r>
        <w:t xml:space="preserve">This document lists data inputs for the GRAM model that require external sourcing. Internal model definitions are excluded; model parameters are defined in </w:t>
      </w:r>
      <w:r>
        <w:rPr>
          <w:rStyle w:val="VerbatimChar"/>
        </w:rPr>
        <w:t>gram_01setup.R</w:t>
      </w:r>
      <w:r>
        <w:t>.</w:t>
      </w:r>
    </w:p>
    <w:p w14:paraId="2A2310A3" w14:textId="77777777" w:rsidR="00AB57C5" w:rsidRDefault="00000000">
      <w:pPr>
        <w:pStyle w:val="BodyText"/>
      </w:pPr>
      <w:r>
        <w:t>The model is currently set up to use data from the United States. If you are using the model in a different setting, you will need to adjust the data inputs accordingly, including defining a cohort that represents the population of interest. There are two ways to do this:</w:t>
      </w:r>
    </w:p>
    <w:p w14:paraId="633EAA13" w14:textId="26F456C5" w:rsidR="00AB37E1" w:rsidRPr="00AB37E1" w:rsidRDefault="00AB37E1" w:rsidP="00AB37E1">
      <w:pPr>
        <w:numPr>
          <w:ilvl w:val="0"/>
          <w:numId w:val="2"/>
        </w:numPr>
      </w:pPr>
      <w:r>
        <w:rPr>
          <w:b/>
          <w:bCs/>
        </w:rPr>
        <w:t>Read in an individual-level dataset</w:t>
      </w:r>
      <w:r>
        <w:t xml:space="preserve"> that represents your population of interest (e.g., census microdata). Ensure that the dataset includes all attributes defined in the model. GRAM uses this approach, and for a new setting would use a dataset like this to simulate the population. This is the preferred option if such individual-level data are available.</w:t>
      </w:r>
    </w:p>
    <w:p w14:paraId="01DE133C" w14:textId="77777777" w:rsidR="00E06239" w:rsidRDefault="00000000" w:rsidP="00E06239">
      <w:pPr>
        <w:numPr>
          <w:ilvl w:val="0"/>
          <w:numId w:val="2"/>
        </w:numPr>
      </w:pPr>
      <w:r>
        <w:rPr>
          <w:b/>
          <w:bCs/>
        </w:rPr>
        <w:t>Define distributions for each individual attribute</w:t>
      </w:r>
      <w:r>
        <w:t xml:space="preserve"> (e.g., age, sex, education, etc.) for your population of interest.</w:t>
      </w:r>
      <w:r w:rsidR="00AB37E1">
        <w:t xml:space="preserve"> This is less preferred than approach #1.</w:t>
      </w:r>
      <w:r>
        <w:t xml:space="preserve"> GRAM will create a synthetic population by randomly assigning attributes to individuals based on the distributions. This information might be easier to source in some settings. However, the dependencies between attributes (e.g., age and sex) will need to be accounted for, which will require revisions to the model and may not always be possible if data on associations between attributes are not available.</w:t>
      </w:r>
    </w:p>
    <w:p w14:paraId="069F0269" w14:textId="77777777" w:rsidR="00E06239" w:rsidRDefault="00AB37E1" w:rsidP="00E06239">
      <w:pPr>
        <w:rPr>
          <w:b/>
          <w:bCs/>
          <w:iCs/>
        </w:rPr>
      </w:pPr>
      <w:r w:rsidRPr="00E06239">
        <w:rPr>
          <w:b/>
          <w:bCs/>
          <w:iCs/>
        </w:rPr>
        <w:t>Required Data to Portray a Selected Setting</w:t>
      </w:r>
    </w:p>
    <w:p w14:paraId="3E5B31B2" w14:textId="07FFDD48" w:rsidR="00AB37E1" w:rsidRDefault="00B21A94" w:rsidP="00E06239">
      <w:pPr>
        <w:rPr>
          <w:i/>
          <w:iCs/>
        </w:rPr>
      </w:pPr>
      <w:r>
        <w:rPr>
          <w:i/>
          <w:iCs/>
        </w:rPr>
        <w:t>Note: Reasonable approximations may suffice for discussion.</w:t>
      </w:r>
    </w:p>
    <w:p w14:paraId="7D16C157" w14:textId="60218AB0" w:rsidR="00E06239" w:rsidRDefault="00E06239" w:rsidP="00E06239">
      <w:pPr>
        <w:pStyle w:val="TableCaption"/>
        <w:numPr>
          <w:ilvl w:val="0"/>
          <w:numId w:val="3"/>
        </w:numPr>
        <w:rPr>
          <w:i w:val="0"/>
          <w:iCs/>
        </w:rPr>
      </w:pPr>
      <w:r>
        <w:rPr>
          <w:i w:val="0"/>
          <w:iCs/>
        </w:rPr>
        <w:lastRenderedPageBreak/>
        <w:t>Age-specific mortality (total and ideally for non-dementia-related deaths)</w:t>
      </w:r>
      <w:r w:rsidR="00F12A05">
        <w:rPr>
          <w:i w:val="0"/>
          <w:iCs/>
        </w:rPr>
        <w:t xml:space="preserve"> (we have this for South Africa)</w:t>
      </w:r>
    </w:p>
    <w:p w14:paraId="6D042CCD" w14:textId="1EA54F1F" w:rsidR="00E06239" w:rsidRDefault="00E06239" w:rsidP="00E06239">
      <w:pPr>
        <w:pStyle w:val="TableCaption"/>
        <w:numPr>
          <w:ilvl w:val="0"/>
          <w:numId w:val="3"/>
        </w:numPr>
        <w:rPr>
          <w:i w:val="0"/>
          <w:iCs/>
        </w:rPr>
      </w:pPr>
      <w:r>
        <w:rPr>
          <w:i w:val="0"/>
          <w:iCs/>
        </w:rPr>
        <w:t xml:space="preserve">Prevalence or incidence of MCI and dementia by age </w:t>
      </w:r>
      <w:r w:rsidR="00F12A05">
        <w:rPr>
          <w:i w:val="0"/>
          <w:iCs/>
        </w:rPr>
        <w:t xml:space="preserve">(can find for </w:t>
      </w:r>
      <w:commentRangeStart w:id="0"/>
      <w:r w:rsidR="00F12A05">
        <w:rPr>
          <w:i w:val="0"/>
          <w:iCs/>
        </w:rPr>
        <w:t>Joburg</w:t>
      </w:r>
      <w:commentRangeEnd w:id="0"/>
      <w:r w:rsidR="00F12A05">
        <w:rPr>
          <w:rStyle w:val="CommentReference"/>
          <w:i w:val="0"/>
        </w:rPr>
        <w:commentReference w:id="0"/>
      </w:r>
      <w:r w:rsidR="00F12A05">
        <w:rPr>
          <w:i w:val="0"/>
          <w:iCs/>
        </w:rPr>
        <w:t xml:space="preserve"> or from U of Cape Town)</w:t>
      </w:r>
    </w:p>
    <w:p w14:paraId="54379A99" w14:textId="7C6F2712" w:rsidR="00E06239" w:rsidRPr="00AB37E1" w:rsidRDefault="00E06239" w:rsidP="00E06239">
      <w:pPr>
        <w:pStyle w:val="TableCaption"/>
        <w:numPr>
          <w:ilvl w:val="0"/>
          <w:numId w:val="3"/>
        </w:numPr>
        <w:rPr>
          <w:i w:val="0"/>
          <w:iCs/>
        </w:rPr>
      </w:pPr>
      <w:r>
        <w:rPr>
          <w:i w:val="0"/>
          <w:iCs/>
        </w:rPr>
        <w:t>Excess mortality (relative) risk among those with MCI/dementia</w:t>
      </w:r>
      <w:r w:rsidR="00F12A05">
        <w:rPr>
          <w:i w:val="0"/>
          <w:iCs/>
        </w:rPr>
        <w:t xml:space="preserve"> (ask at Cape Town)</w:t>
      </w:r>
    </w:p>
    <w:p w14:paraId="5C530FA0" w14:textId="4604D65D" w:rsidR="00E06239" w:rsidRDefault="00E06239" w:rsidP="00E06239">
      <w:pPr>
        <w:pStyle w:val="TableCaption"/>
        <w:numPr>
          <w:ilvl w:val="0"/>
          <w:numId w:val="3"/>
        </w:numPr>
        <w:rPr>
          <w:i w:val="0"/>
          <w:iCs/>
        </w:rPr>
      </w:pPr>
      <w:r>
        <w:rPr>
          <w:i w:val="0"/>
          <w:iCs/>
        </w:rPr>
        <w:t>Test (BHA, CDR-SB, or other) validity and performance metrics</w:t>
      </w:r>
      <w:r w:rsidR="00F12A05">
        <w:rPr>
          <w:i w:val="0"/>
          <w:iCs/>
        </w:rPr>
        <w:t xml:space="preserve"> (schedule time with Elena Tsoy to discuss options – she works on adapting the BHA for other countries. Cyprian will talk with Kirti)</w:t>
      </w:r>
    </w:p>
    <w:p w14:paraId="56FC0330" w14:textId="49522E50" w:rsidR="00F12A05" w:rsidRPr="00F12A05" w:rsidRDefault="00F12A05" w:rsidP="00F12A05">
      <w:pPr>
        <w:pStyle w:val="TableCaption"/>
        <w:numPr>
          <w:ilvl w:val="0"/>
          <w:numId w:val="3"/>
        </w:numPr>
        <w:rPr>
          <w:i w:val="0"/>
          <w:iCs/>
        </w:rPr>
      </w:pPr>
      <w:r>
        <w:rPr>
          <w:i w:val="0"/>
          <w:iCs/>
        </w:rPr>
        <w:t>Rate of progression of cognitive impairment</w:t>
      </w:r>
      <w:r w:rsidR="009F7EF7">
        <w:rPr>
          <w:i w:val="0"/>
          <w:iCs/>
        </w:rPr>
        <w:t xml:space="preserve"> (we expect to have to do some estimations here, data are hard to find)</w:t>
      </w:r>
    </w:p>
    <w:p w14:paraId="798B4E4E" w14:textId="684D71F1" w:rsidR="00E06239" w:rsidRDefault="00E06239" w:rsidP="00E06239">
      <w:pPr>
        <w:pStyle w:val="TableCaption"/>
        <w:numPr>
          <w:ilvl w:val="0"/>
          <w:numId w:val="3"/>
        </w:numPr>
        <w:rPr>
          <w:i w:val="0"/>
          <w:iCs/>
        </w:rPr>
      </w:pPr>
      <w:r>
        <w:rPr>
          <w:i w:val="0"/>
          <w:iCs/>
        </w:rPr>
        <w:t>Risk factors for dementia and their distribution in the population</w:t>
      </w:r>
      <w:r w:rsidR="009F7EF7">
        <w:rPr>
          <w:i w:val="0"/>
          <w:iCs/>
        </w:rPr>
        <w:t xml:space="preserve"> (Cyprian did lit review for Africa for most dominant risk factors – education, poverty, infections, diabetes, obesity)</w:t>
      </w:r>
    </w:p>
    <w:p w14:paraId="7047F6BA" w14:textId="43D9371B" w:rsidR="00E06239" w:rsidRDefault="00E06239" w:rsidP="00E06239">
      <w:pPr>
        <w:pStyle w:val="TableCaption"/>
        <w:numPr>
          <w:ilvl w:val="0"/>
          <w:numId w:val="3"/>
        </w:numPr>
        <w:rPr>
          <w:i w:val="0"/>
          <w:iCs/>
        </w:rPr>
      </w:pPr>
      <w:r>
        <w:rPr>
          <w:i w:val="0"/>
          <w:iCs/>
        </w:rPr>
        <w:t>Health state utility by dementia status</w:t>
      </w:r>
      <w:r w:rsidR="0015301A">
        <w:rPr>
          <w:i w:val="0"/>
          <w:iCs/>
        </w:rPr>
        <w:t xml:space="preserve"> (DALYs? QALYs?) – can look at Tufts registry</w:t>
      </w:r>
    </w:p>
    <w:p w14:paraId="13D12918" w14:textId="7F23E969" w:rsidR="00E06239" w:rsidRDefault="00E06239" w:rsidP="00E06239">
      <w:pPr>
        <w:pStyle w:val="TableCaption"/>
        <w:numPr>
          <w:ilvl w:val="0"/>
          <w:numId w:val="3"/>
        </w:numPr>
        <w:rPr>
          <w:i w:val="0"/>
          <w:iCs/>
        </w:rPr>
      </w:pPr>
      <w:r>
        <w:rPr>
          <w:i w:val="0"/>
          <w:iCs/>
        </w:rPr>
        <w:t>Cost of care and treatment by dementia status</w:t>
      </w:r>
      <w:r w:rsidR="0015301A">
        <w:rPr>
          <w:i w:val="0"/>
          <w:iCs/>
        </w:rPr>
        <w:t xml:space="preserve"> </w:t>
      </w:r>
    </w:p>
    <w:p w14:paraId="5A224A5E" w14:textId="50453141" w:rsidR="00E06239" w:rsidRDefault="00E06239" w:rsidP="00E06239">
      <w:pPr>
        <w:pStyle w:val="TableCaption"/>
        <w:numPr>
          <w:ilvl w:val="0"/>
          <w:numId w:val="3"/>
        </w:numPr>
        <w:rPr>
          <w:i w:val="0"/>
          <w:iCs/>
        </w:rPr>
      </w:pPr>
      <w:r>
        <w:rPr>
          <w:i w:val="0"/>
          <w:iCs/>
        </w:rPr>
        <w:t>Wage rates (general and for healthcare)</w:t>
      </w:r>
      <w:r w:rsidR="0015301A">
        <w:rPr>
          <w:i w:val="0"/>
          <w:iCs/>
        </w:rPr>
        <w:t xml:space="preserve"> – supportive care + productivity loss </w:t>
      </w:r>
    </w:p>
    <w:p w14:paraId="7E82DAF4" w14:textId="77777777" w:rsidR="00E06239" w:rsidRPr="00E06239" w:rsidRDefault="00E06239" w:rsidP="00E06239"/>
    <w:p w14:paraId="4EB114C2" w14:textId="4F99122D" w:rsidR="00AB57C5" w:rsidRDefault="00AB37E1">
      <w:pPr>
        <w:pStyle w:val="TableCaption"/>
      </w:pPr>
      <w:r>
        <w:rPr>
          <w:b/>
          <w:bCs/>
        </w:rPr>
        <w:t>Ideal External Data Inputs for GRAM</w:t>
      </w:r>
    </w:p>
    <w:tbl>
      <w:tblPr>
        <w:tblStyle w:val="Table"/>
        <w:tblW w:w="5000" w:type="pct"/>
        <w:tblLook w:val="0020" w:firstRow="1" w:lastRow="0" w:firstColumn="0" w:lastColumn="0" w:noHBand="0" w:noVBand="0"/>
      </w:tblPr>
      <w:tblGrid>
        <w:gridCol w:w="2413"/>
        <w:gridCol w:w="2429"/>
        <w:gridCol w:w="1875"/>
        <w:gridCol w:w="321"/>
        <w:gridCol w:w="2538"/>
      </w:tblGrid>
      <w:tr w:rsidR="00AB57C5" w14:paraId="641A5C82" w14:textId="77777777" w:rsidTr="00AB37E1">
        <w:trPr>
          <w:cnfStyle w:val="100000000000" w:firstRow="1" w:lastRow="0" w:firstColumn="0" w:lastColumn="0" w:oddVBand="0" w:evenVBand="0" w:oddHBand="0" w:evenHBand="0" w:firstRowFirstColumn="0" w:firstRowLastColumn="0" w:lastRowFirstColumn="0" w:lastRowLastColumn="0"/>
          <w:tblHeader/>
        </w:trPr>
        <w:tc>
          <w:tcPr>
            <w:tcW w:w="1260" w:type="pct"/>
          </w:tcPr>
          <w:p w14:paraId="7A763795" w14:textId="77777777" w:rsidR="00AB57C5" w:rsidRDefault="00000000">
            <w:pPr>
              <w:pStyle w:val="Compact"/>
            </w:pPr>
            <w:r>
              <w:t>Input Name</w:t>
            </w:r>
          </w:p>
        </w:tc>
        <w:tc>
          <w:tcPr>
            <w:tcW w:w="1268" w:type="pct"/>
          </w:tcPr>
          <w:p w14:paraId="243F388E" w14:textId="77777777" w:rsidR="00AB57C5" w:rsidRDefault="00000000">
            <w:pPr>
              <w:pStyle w:val="Compact"/>
            </w:pPr>
            <w:r>
              <w:t>Description</w:t>
            </w:r>
          </w:p>
        </w:tc>
        <w:tc>
          <w:tcPr>
            <w:tcW w:w="1147" w:type="pct"/>
            <w:gridSpan w:val="2"/>
          </w:tcPr>
          <w:p w14:paraId="286968F1" w14:textId="77777777" w:rsidR="00AB57C5" w:rsidRDefault="00000000">
            <w:pPr>
              <w:pStyle w:val="Compact"/>
            </w:pPr>
            <w:r>
              <w:t>Suggested Data Sources</w:t>
            </w:r>
          </w:p>
        </w:tc>
        <w:tc>
          <w:tcPr>
            <w:tcW w:w="1325" w:type="pct"/>
          </w:tcPr>
          <w:p w14:paraId="6EEBB8B8" w14:textId="77777777" w:rsidR="00AB57C5" w:rsidRDefault="00000000">
            <w:pPr>
              <w:pStyle w:val="Compact"/>
            </w:pPr>
            <w:r>
              <w:t>Notes</w:t>
            </w:r>
          </w:p>
        </w:tc>
      </w:tr>
      <w:tr w:rsidR="00AB57C5" w14:paraId="67BAE281" w14:textId="77777777" w:rsidTr="00AB37E1">
        <w:tc>
          <w:tcPr>
            <w:tcW w:w="1260" w:type="pct"/>
          </w:tcPr>
          <w:p w14:paraId="625BD632" w14:textId="77777777" w:rsidR="00AB57C5" w:rsidRDefault="00000000">
            <w:pPr>
              <w:pStyle w:val="Compact"/>
            </w:pPr>
            <w:r>
              <w:t>AGE_start_mean, AGE_start_sd</w:t>
            </w:r>
          </w:p>
        </w:tc>
        <w:tc>
          <w:tcPr>
            <w:tcW w:w="1268" w:type="pct"/>
          </w:tcPr>
          <w:p w14:paraId="78351660" w14:textId="77777777" w:rsidR="00AB57C5" w:rsidRDefault="00000000">
            <w:pPr>
              <w:pStyle w:val="Compact"/>
            </w:pPr>
            <w:r>
              <w:t>Mean and SD of starting age for simulated individuals</w:t>
            </w:r>
          </w:p>
        </w:tc>
        <w:tc>
          <w:tcPr>
            <w:tcW w:w="979" w:type="pct"/>
          </w:tcPr>
          <w:p w14:paraId="27A85564" w14:textId="77777777" w:rsidR="00AB57C5" w:rsidRDefault="00000000">
            <w:pPr>
              <w:pStyle w:val="Compact"/>
            </w:pPr>
            <w:r>
              <w:t>NHANES, HRS, ADNI, census</w:t>
            </w:r>
          </w:p>
        </w:tc>
        <w:tc>
          <w:tcPr>
            <w:tcW w:w="1493" w:type="pct"/>
            <w:gridSpan w:val="2"/>
          </w:tcPr>
          <w:p w14:paraId="7FE0A22F" w14:textId="49656176" w:rsidR="00AB57C5" w:rsidRDefault="00AB37E1">
            <w:pPr>
              <w:pStyle w:val="Compact"/>
            </w:pPr>
            <w:r>
              <w:t>Relevant only if modeling a prevalent cohort. Default model starts at age 50.</w:t>
            </w:r>
          </w:p>
        </w:tc>
      </w:tr>
      <w:tr w:rsidR="00AB57C5" w14:paraId="0C3CB033" w14:textId="77777777" w:rsidTr="00AB37E1">
        <w:tc>
          <w:tcPr>
            <w:tcW w:w="1260" w:type="pct"/>
          </w:tcPr>
          <w:p w14:paraId="07904B41" w14:textId="77777777" w:rsidR="00AB57C5" w:rsidRDefault="00000000">
            <w:pPr>
              <w:pStyle w:val="Compact"/>
            </w:pPr>
            <w:r>
              <w:t>p.SEX_start_male, p.SEX_start_female</w:t>
            </w:r>
          </w:p>
        </w:tc>
        <w:tc>
          <w:tcPr>
            <w:tcW w:w="1268" w:type="pct"/>
          </w:tcPr>
          <w:p w14:paraId="45A3AEAA" w14:textId="77777777" w:rsidR="00AB57C5" w:rsidRDefault="00000000">
            <w:pPr>
              <w:pStyle w:val="Compact"/>
            </w:pPr>
            <w:r>
              <w:t>Proportion of males and females in the starting population</w:t>
            </w:r>
          </w:p>
        </w:tc>
        <w:tc>
          <w:tcPr>
            <w:tcW w:w="979" w:type="pct"/>
          </w:tcPr>
          <w:p w14:paraId="3370967C" w14:textId="77777777" w:rsidR="00AB57C5" w:rsidRDefault="00000000">
            <w:pPr>
              <w:pStyle w:val="Compact"/>
            </w:pPr>
            <w:r>
              <w:t>NHANES, HRS, census</w:t>
            </w:r>
          </w:p>
        </w:tc>
        <w:tc>
          <w:tcPr>
            <w:tcW w:w="1493" w:type="pct"/>
            <w:gridSpan w:val="2"/>
          </w:tcPr>
          <w:p w14:paraId="0149EE04" w14:textId="77777777" w:rsidR="00AB57C5" w:rsidRDefault="00AB57C5">
            <w:pPr>
              <w:pStyle w:val="Compact"/>
            </w:pPr>
          </w:p>
        </w:tc>
      </w:tr>
      <w:tr w:rsidR="00AB57C5" w14:paraId="42EBF3DB" w14:textId="77777777" w:rsidTr="00AB37E1">
        <w:tc>
          <w:tcPr>
            <w:tcW w:w="1260" w:type="pct"/>
          </w:tcPr>
          <w:p w14:paraId="0F405678" w14:textId="77777777" w:rsidR="00AB57C5" w:rsidRDefault="00000000">
            <w:pPr>
              <w:pStyle w:val="Compact"/>
            </w:pPr>
            <w:r>
              <w:t>p.EDU_start</w:t>
            </w:r>
          </w:p>
        </w:tc>
        <w:tc>
          <w:tcPr>
            <w:tcW w:w="1268" w:type="pct"/>
          </w:tcPr>
          <w:p w14:paraId="3241F294" w14:textId="77777777" w:rsidR="00AB57C5" w:rsidRDefault="00000000">
            <w:pPr>
              <w:pStyle w:val="Compact"/>
            </w:pPr>
            <w:r>
              <w:t>Proportion with each education level (college+, high school, &lt; high school)</w:t>
            </w:r>
          </w:p>
        </w:tc>
        <w:tc>
          <w:tcPr>
            <w:tcW w:w="979" w:type="pct"/>
          </w:tcPr>
          <w:p w14:paraId="2703E3B5" w14:textId="77777777" w:rsidR="00AB57C5" w:rsidRDefault="00000000">
            <w:pPr>
              <w:pStyle w:val="Compact"/>
            </w:pPr>
            <w:r>
              <w:t>NHANES, HRS, census</w:t>
            </w:r>
          </w:p>
        </w:tc>
        <w:tc>
          <w:tcPr>
            <w:tcW w:w="1493" w:type="pct"/>
            <w:gridSpan w:val="2"/>
          </w:tcPr>
          <w:p w14:paraId="5B4360F8" w14:textId="77777777" w:rsidR="00AB57C5" w:rsidRDefault="00AB57C5">
            <w:pPr>
              <w:pStyle w:val="Compact"/>
            </w:pPr>
          </w:p>
        </w:tc>
      </w:tr>
      <w:tr w:rsidR="00AB57C5" w14:paraId="44C67292" w14:textId="77777777" w:rsidTr="00AB37E1">
        <w:tc>
          <w:tcPr>
            <w:tcW w:w="1260" w:type="pct"/>
          </w:tcPr>
          <w:p w14:paraId="70F6EE0D" w14:textId="77777777" w:rsidR="00AB57C5" w:rsidRDefault="00000000">
            <w:pPr>
              <w:pStyle w:val="Compact"/>
            </w:pPr>
            <w:r>
              <w:t>p.RACEETH_start</w:t>
            </w:r>
          </w:p>
        </w:tc>
        <w:tc>
          <w:tcPr>
            <w:tcW w:w="1268" w:type="pct"/>
          </w:tcPr>
          <w:p w14:paraId="4C174C3A" w14:textId="77777777" w:rsidR="00AB57C5" w:rsidRDefault="00000000">
            <w:pPr>
              <w:pStyle w:val="Compact"/>
            </w:pPr>
            <w:r>
              <w:t>Proportion with each race/ethnicity (White, Black, Hispanic)</w:t>
            </w:r>
          </w:p>
        </w:tc>
        <w:tc>
          <w:tcPr>
            <w:tcW w:w="979" w:type="pct"/>
          </w:tcPr>
          <w:p w14:paraId="34D42F4D" w14:textId="77777777" w:rsidR="00AB57C5" w:rsidRDefault="00000000">
            <w:pPr>
              <w:pStyle w:val="Compact"/>
            </w:pPr>
            <w:r>
              <w:t>NHANES, HRS, census</w:t>
            </w:r>
          </w:p>
        </w:tc>
        <w:tc>
          <w:tcPr>
            <w:tcW w:w="1493" w:type="pct"/>
            <w:gridSpan w:val="2"/>
          </w:tcPr>
          <w:p w14:paraId="4B277BD5" w14:textId="77777777" w:rsidR="00AB57C5" w:rsidRDefault="00AB57C5">
            <w:pPr>
              <w:pStyle w:val="Compact"/>
            </w:pPr>
          </w:p>
        </w:tc>
      </w:tr>
      <w:tr w:rsidR="00AB57C5" w14:paraId="43B4ECE8" w14:textId="77777777" w:rsidTr="00AB37E1">
        <w:tc>
          <w:tcPr>
            <w:tcW w:w="1260" w:type="pct"/>
          </w:tcPr>
          <w:p w14:paraId="0C261CDD" w14:textId="77777777" w:rsidR="00AB57C5" w:rsidRDefault="00000000">
            <w:pPr>
              <w:pStyle w:val="Compact"/>
            </w:pPr>
            <w:r>
              <w:t>p.INCOME_start</w:t>
            </w:r>
          </w:p>
        </w:tc>
        <w:tc>
          <w:tcPr>
            <w:tcW w:w="1268" w:type="pct"/>
          </w:tcPr>
          <w:p w14:paraId="2D2E0B40" w14:textId="77777777" w:rsidR="00AB57C5" w:rsidRDefault="00000000">
            <w:pPr>
              <w:pStyle w:val="Compact"/>
            </w:pPr>
            <w:r>
              <w:t xml:space="preserve">Proportion with each </w:t>
            </w:r>
            <w:r>
              <w:lastRenderedPageBreak/>
              <w:t>income level (low, medium, high)</w:t>
            </w:r>
          </w:p>
        </w:tc>
        <w:tc>
          <w:tcPr>
            <w:tcW w:w="979" w:type="pct"/>
          </w:tcPr>
          <w:p w14:paraId="5A725C3B" w14:textId="77777777" w:rsidR="00AB57C5" w:rsidRDefault="00000000">
            <w:pPr>
              <w:pStyle w:val="Compact"/>
            </w:pPr>
            <w:r>
              <w:lastRenderedPageBreak/>
              <w:t xml:space="preserve">NHANES, HRS, </w:t>
            </w:r>
            <w:r>
              <w:lastRenderedPageBreak/>
              <w:t>census, government economic reports</w:t>
            </w:r>
          </w:p>
        </w:tc>
        <w:tc>
          <w:tcPr>
            <w:tcW w:w="1493" w:type="pct"/>
            <w:gridSpan w:val="2"/>
          </w:tcPr>
          <w:p w14:paraId="7049364C" w14:textId="77777777" w:rsidR="00AB57C5" w:rsidRDefault="00000000">
            <w:pPr>
              <w:pStyle w:val="Compact"/>
            </w:pPr>
            <w:r>
              <w:lastRenderedPageBreak/>
              <w:t xml:space="preserve">Model cutoffs: low = </w:t>
            </w:r>
            <w:r>
              <w:lastRenderedPageBreak/>
              <w:t>&lt;$9,000/year; medium = $9,000–$36,000/year; high = &gt;$36,000/year. Define equivalent cutoffs for your setting.</w:t>
            </w:r>
          </w:p>
        </w:tc>
      </w:tr>
      <w:tr w:rsidR="00AB57C5" w14:paraId="1D3077AC" w14:textId="77777777" w:rsidTr="00AB37E1">
        <w:tc>
          <w:tcPr>
            <w:tcW w:w="1260" w:type="pct"/>
          </w:tcPr>
          <w:p w14:paraId="0EF15E52" w14:textId="77777777" w:rsidR="00AB57C5" w:rsidRDefault="00000000">
            <w:pPr>
              <w:pStyle w:val="Compact"/>
            </w:pPr>
            <w:r>
              <w:lastRenderedPageBreak/>
              <w:t>p.APOE4_start</w:t>
            </w:r>
          </w:p>
        </w:tc>
        <w:tc>
          <w:tcPr>
            <w:tcW w:w="1268" w:type="pct"/>
          </w:tcPr>
          <w:p w14:paraId="5CBC21B1" w14:textId="77777777" w:rsidR="00AB57C5" w:rsidRDefault="00000000">
            <w:pPr>
              <w:pStyle w:val="Compact"/>
            </w:pPr>
            <w:r>
              <w:t>Proportion of APOE4 carriers vs. non-carriers</w:t>
            </w:r>
          </w:p>
        </w:tc>
        <w:tc>
          <w:tcPr>
            <w:tcW w:w="979" w:type="pct"/>
          </w:tcPr>
          <w:p w14:paraId="38655C17" w14:textId="77777777" w:rsidR="00AB57C5" w:rsidRDefault="00000000">
            <w:pPr>
              <w:pStyle w:val="Compact"/>
            </w:pPr>
            <w:r>
              <w:t>ADNI, NACC, published genetic studies</w:t>
            </w:r>
          </w:p>
        </w:tc>
        <w:tc>
          <w:tcPr>
            <w:tcW w:w="1493" w:type="pct"/>
            <w:gridSpan w:val="2"/>
          </w:tcPr>
          <w:p w14:paraId="238AC190" w14:textId="77777777" w:rsidR="00AB57C5" w:rsidRDefault="00AB57C5">
            <w:pPr>
              <w:pStyle w:val="Compact"/>
            </w:pPr>
          </w:p>
        </w:tc>
      </w:tr>
      <w:tr w:rsidR="00AB57C5" w14:paraId="7D23786F" w14:textId="77777777" w:rsidTr="00AB37E1">
        <w:tc>
          <w:tcPr>
            <w:tcW w:w="1260" w:type="pct"/>
          </w:tcPr>
          <w:p w14:paraId="676BCA76" w14:textId="77777777" w:rsidR="00AB57C5" w:rsidRDefault="00000000">
            <w:pPr>
              <w:pStyle w:val="Compact"/>
            </w:pPr>
            <w:r>
              <w:t>p.SEV_start</w:t>
            </w:r>
          </w:p>
        </w:tc>
        <w:tc>
          <w:tcPr>
            <w:tcW w:w="1268" w:type="pct"/>
          </w:tcPr>
          <w:p w14:paraId="2D430DED" w14:textId="77777777" w:rsidR="00AB57C5" w:rsidRDefault="00000000">
            <w:pPr>
              <w:pStyle w:val="Compact"/>
            </w:pPr>
            <w:r>
              <w:t>Proportion with each severity at baseline (MCI, mild, mod, severe)</w:t>
            </w:r>
          </w:p>
        </w:tc>
        <w:tc>
          <w:tcPr>
            <w:tcW w:w="979" w:type="pct"/>
          </w:tcPr>
          <w:p w14:paraId="0079F6A6" w14:textId="77777777" w:rsidR="00AB57C5" w:rsidRDefault="00000000">
            <w:pPr>
              <w:pStyle w:val="Compact"/>
            </w:pPr>
            <w:r>
              <w:t>Clinical cohorts, ADNI, NACC</w:t>
            </w:r>
          </w:p>
        </w:tc>
        <w:tc>
          <w:tcPr>
            <w:tcW w:w="1493" w:type="pct"/>
            <w:gridSpan w:val="2"/>
          </w:tcPr>
          <w:p w14:paraId="61F7DE99" w14:textId="77777777" w:rsidR="00AB57C5" w:rsidRDefault="00000000">
            <w:pPr>
              <w:pStyle w:val="Compact"/>
            </w:pPr>
            <w:r>
              <w:t>Only required if starting with a prevalent cohort. Otherwise, defaults to NA (i.e., no one has impairment)</w:t>
            </w:r>
          </w:p>
        </w:tc>
      </w:tr>
      <w:tr w:rsidR="00AB57C5" w14:paraId="0FC4B4B3" w14:textId="77777777" w:rsidTr="00AB37E1">
        <w:tc>
          <w:tcPr>
            <w:tcW w:w="1260" w:type="pct"/>
          </w:tcPr>
          <w:p w14:paraId="54D0325C" w14:textId="77777777" w:rsidR="00AB57C5" w:rsidRDefault="00000000">
            <w:pPr>
              <w:pStyle w:val="Compact"/>
            </w:pPr>
            <w:r>
              <w:t>MEDBUR_start</w:t>
            </w:r>
          </w:p>
        </w:tc>
        <w:tc>
          <w:tcPr>
            <w:tcW w:w="1268" w:type="pct"/>
          </w:tcPr>
          <w:p w14:paraId="5228CCCF" w14:textId="77777777" w:rsidR="00AB57C5" w:rsidRDefault="00000000">
            <w:pPr>
              <w:pStyle w:val="Compact"/>
            </w:pPr>
            <w:r>
              <w:t>Distribution of comorbidities at baseline</w:t>
            </w:r>
          </w:p>
        </w:tc>
        <w:tc>
          <w:tcPr>
            <w:tcW w:w="979" w:type="pct"/>
          </w:tcPr>
          <w:p w14:paraId="024615CB" w14:textId="77777777" w:rsidR="00AB57C5" w:rsidRDefault="00000000">
            <w:pPr>
              <w:pStyle w:val="Compact"/>
            </w:pPr>
            <w:r>
              <w:t>NHANES, HRS, health system data</w:t>
            </w:r>
          </w:p>
        </w:tc>
        <w:tc>
          <w:tcPr>
            <w:tcW w:w="1493" w:type="pct"/>
            <w:gridSpan w:val="2"/>
          </w:tcPr>
          <w:p w14:paraId="55BEB222" w14:textId="77777777" w:rsidR="00AB57C5" w:rsidRDefault="00AB57C5">
            <w:pPr>
              <w:pStyle w:val="Compact"/>
            </w:pPr>
          </w:p>
        </w:tc>
      </w:tr>
      <w:tr w:rsidR="00AB57C5" w14:paraId="60E4470E" w14:textId="77777777" w:rsidTr="00AB37E1">
        <w:tc>
          <w:tcPr>
            <w:tcW w:w="1260" w:type="pct"/>
          </w:tcPr>
          <w:p w14:paraId="0854E231" w14:textId="77777777" w:rsidR="00AB57C5" w:rsidRDefault="00000000">
            <w:pPr>
              <w:pStyle w:val="Compact"/>
            </w:pPr>
            <w:r>
              <w:t>m.cogcon_spon, m.cogcon_elic</w:t>
            </w:r>
          </w:p>
        </w:tc>
        <w:tc>
          <w:tcPr>
            <w:tcW w:w="1268" w:type="pct"/>
          </w:tcPr>
          <w:p w14:paraId="3B7616E4" w14:textId="77777777" w:rsidR="00AB57C5" w:rsidRDefault="00000000">
            <w:pPr>
              <w:pStyle w:val="Compact"/>
            </w:pPr>
            <w:r>
              <w:t>Matrices for spontaneous/elicited cognitive concerns representing the probability of receiving a cognitive test based on age and true cognitive status</w:t>
            </w:r>
          </w:p>
        </w:tc>
        <w:tc>
          <w:tcPr>
            <w:tcW w:w="979" w:type="pct"/>
          </w:tcPr>
          <w:p w14:paraId="3C58FF4C" w14:textId="77777777" w:rsidR="00AB57C5" w:rsidRDefault="00000000">
            <w:pPr>
              <w:pStyle w:val="Compact"/>
            </w:pPr>
            <w:r>
              <w:t>Peer-reviewed literature, original cohort data</w:t>
            </w:r>
          </w:p>
        </w:tc>
        <w:tc>
          <w:tcPr>
            <w:tcW w:w="1493" w:type="pct"/>
            <w:gridSpan w:val="2"/>
          </w:tcPr>
          <w:p w14:paraId="3D46D19D" w14:textId="77777777" w:rsidR="00AB57C5" w:rsidRDefault="00000000">
            <w:pPr>
              <w:pStyle w:val="Compact"/>
            </w:pPr>
            <w:r>
              <w:t>Only required if simulating a cognitive testing intervention. Otherwise, defaults to 1 (i.e., everyone receives a cognitive test).</w:t>
            </w:r>
          </w:p>
        </w:tc>
      </w:tr>
      <w:tr w:rsidR="00AB57C5" w14:paraId="4BCEC4E5" w14:textId="77777777" w:rsidTr="00AB37E1">
        <w:tc>
          <w:tcPr>
            <w:tcW w:w="1260" w:type="pct"/>
          </w:tcPr>
          <w:p w14:paraId="3086C7D1" w14:textId="77777777" w:rsidR="00AB57C5" w:rsidRDefault="00000000">
            <w:pPr>
              <w:pStyle w:val="Compact"/>
            </w:pPr>
            <w:r>
              <w:t>m.lifetable</w:t>
            </w:r>
          </w:p>
        </w:tc>
        <w:tc>
          <w:tcPr>
            <w:tcW w:w="1268" w:type="pct"/>
          </w:tcPr>
          <w:p w14:paraId="3DAC6DB3" w14:textId="77777777" w:rsidR="00AB57C5" w:rsidRDefault="00000000">
            <w:pPr>
              <w:pStyle w:val="Compact"/>
            </w:pPr>
            <w:r>
              <w:t>Age-specific non-dementia mortality probabilities</w:t>
            </w:r>
          </w:p>
        </w:tc>
        <w:tc>
          <w:tcPr>
            <w:tcW w:w="979" w:type="pct"/>
          </w:tcPr>
          <w:p w14:paraId="1AF93E87" w14:textId="77777777" w:rsidR="00AB57C5" w:rsidRDefault="00000000">
            <w:pPr>
              <w:pStyle w:val="Compact"/>
            </w:pPr>
            <w:r>
              <w:t>CDC/NCHS life tables, WHO, published tables</w:t>
            </w:r>
          </w:p>
        </w:tc>
        <w:tc>
          <w:tcPr>
            <w:tcW w:w="1493" w:type="pct"/>
            <w:gridSpan w:val="2"/>
          </w:tcPr>
          <w:p w14:paraId="66E073FE" w14:textId="77777777" w:rsidR="00AB57C5" w:rsidRDefault="00AB57C5">
            <w:pPr>
              <w:pStyle w:val="Compact"/>
            </w:pPr>
          </w:p>
        </w:tc>
      </w:tr>
      <w:tr w:rsidR="00AB57C5" w14:paraId="3DF23827" w14:textId="77777777" w:rsidTr="00AB37E1">
        <w:tc>
          <w:tcPr>
            <w:tcW w:w="1260" w:type="pct"/>
          </w:tcPr>
          <w:p w14:paraId="56645510" w14:textId="77777777" w:rsidR="00AB57C5" w:rsidRDefault="00000000">
            <w:pPr>
              <w:pStyle w:val="Compact"/>
            </w:pPr>
            <w:r>
              <w:t>m.hr_mci</w:t>
            </w:r>
          </w:p>
        </w:tc>
        <w:tc>
          <w:tcPr>
            <w:tcW w:w="1268" w:type="pct"/>
          </w:tcPr>
          <w:p w14:paraId="622038C7" w14:textId="77777777" w:rsidR="00AB57C5" w:rsidRDefault="00000000">
            <w:pPr>
              <w:pStyle w:val="Compact"/>
            </w:pPr>
            <w:r>
              <w:t>Age-specific annual MCI incidence rates</w:t>
            </w:r>
          </w:p>
        </w:tc>
        <w:tc>
          <w:tcPr>
            <w:tcW w:w="979" w:type="pct"/>
          </w:tcPr>
          <w:p w14:paraId="092F0EB3" w14:textId="77777777" w:rsidR="00AB57C5" w:rsidRDefault="00000000">
            <w:pPr>
              <w:pStyle w:val="Compact"/>
            </w:pPr>
            <w:r>
              <w:t>Peer-reviewed epidemiological studies, ADNI, NACC</w:t>
            </w:r>
          </w:p>
        </w:tc>
        <w:tc>
          <w:tcPr>
            <w:tcW w:w="1493" w:type="pct"/>
            <w:gridSpan w:val="2"/>
          </w:tcPr>
          <w:p w14:paraId="6D53ABC9" w14:textId="77777777" w:rsidR="00AB57C5" w:rsidRDefault="00AB57C5">
            <w:pPr>
              <w:pStyle w:val="Compact"/>
            </w:pPr>
          </w:p>
        </w:tc>
      </w:tr>
      <w:tr w:rsidR="00AB57C5" w14:paraId="77B72038" w14:textId="77777777" w:rsidTr="00AB37E1">
        <w:tc>
          <w:tcPr>
            <w:tcW w:w="1260" w:type="pct"/>
          </w:tcPr>
          <w:p w14:paraId="10610CDC" w14:textId="77777777" w:rsidR="00AB57C5" w:rsidRDefault="00000000">
            <w:pPr>
              <w:pStyle w:val="Compact"/>
            </w:pPr>
            <w:r>
              <w:t>Health state utilities</w:t>
            </w:r>
          </w:p>
        </w:tc>
        <w:tc>
          <w:tcPr>
            <w:tcW w:w="1268" w:type="pct"/>
          </w:tcPr>
          <w:p w14:paraId="7636FB7B" w14:textId="77777777" w:rsidR="00AB57C5" w:rsidRDefault="00000000">
            <w:pPr>
              <w:pStyle w:val="Compact"/>
            </w:pPr>
            <w:r>
              <w:t>Health state utilities for cognitive impairment states (e.g., QALY values)</w:t>
            </w:r>
          </w:p>
        </w:tc>
        <w:tc>
          <w:tcPr>
            <w:tcW w:w="979" w:type="pct"/>
          </w:tcPr>
          <w:p w14:paraId="365A9A4A" w14:textId="77777777" w:rsidR="00AB57C5" w:rsidRDefault="00000000">
            <w:pPr>
              <w:pStyle w:val="Compact"/>
            </w:pPr>
            <w:r>
              <w:t>Literature reviews, meta-analyses, clinical studies</w:t>
            </w:r>
          </w:p>
        </w:tc>
        <w:tc>
          <w:tcPr>
            <w:tcW w:w="1493" w:type="pct"/>
            <w:gridSpan w:val="2"/>
          </w:tcPr>
          <w:p w14:paraId="4CDDE56B" w14:textId="77777777" w:rsidR="00AB57C5" w:rsidRDefault="00AB57C5">
            <w:pPr>
              <w:pStyle w:val="Compact"/>
            </w:pPr>
          </w:p>
        </w:tc>
      </w:tr>
      <w:tr w:rsidR="00AB57C5" w14:paraId="7E08D212" w14:textId="77777777" w:rsidTr="00AB37E1">
        <w:tc>
          <w:tcPr>
            <w:tcW w:w="1260" w:type="pct"/>
          </w:tcPr>
          <w:p w14:paraId="475C0931" w14:textId="77777777" w:rsidR="00AB57C5" w:rsidRDefault="00000000">
            <w:pPr>
              <w:pStyle w:val="Compact"/>
            </w:pPr>
            <w:r>
              <w:t>Costs</w:t>
            </w:r>
          </w:p>
        </w:tc>
        <w:tc>
          <w:tcPr>
            <w:tcW w:w="1268" w:type="pct"/>
          </w:tcPr>
          <w:p w14:paraId="30D97897" w14:textId="77777777" w:rsidR="00AB57C5" w:rsidRDefault="00000000">
            <w:pPr>
              <w:pStyle w:val="Compact"/>
            </w:pPr>
            <w:r>
              <w:t xml:space="preserve">Annual costs by health state and </w:t>
            </w:r>
            <w:r>
              <w:lastRenderedPageBreak/>
              <w:t>treatment</w:t>
            </w:r>
          </w:p>
        </w:tc>
        <w:tc>
          <w:tcPr>
            <w:tcW w:w="979" w:type="pct"/>
          </w:tcPr>
          <w:p w14:paraId="21F3FFE4" w14:textId="77777777" w:rsidR="00AB57C5" w:rsidRDefault="00000000">
            <w:pPr>
              <w:pStyle w:val="Compact"/>
            </w:pPr>
            <w:r>
              <w:lastRenderedPageBreak/>
              <w:t xml:space="preserve">Peer-reviewed cost studies, CMS, health </w:t>
            </w:r>
            <w:r>
              <w:lastRenderedPageBreak/>
              <w:t>system data</w:t>
            </w:r>
          </w:p>
        </w:tc>
        <w:tc>
          <w:tcPr>
            <w:tcW w:w="1493" w:type="pct"/>
            <w:gridSpan w:val="2"/>
          </w:tcPr>
          <w:p w14:paraId="28AC88CC" w14:textId="77777777" w:rsidR="00AB57C5" w:rsidRDefault="00AB57C5">
            <w:pPr>
              <w:pStyle w:val="Compact"/>
            </w:pPr>
          </w:p>
        </w:tc>
      </w:tr>
      <w:tr w:rsidR="00AB57C5" w14:paraId="3AA86896" w14:textId="77777777" w:rsidTr="00AB37E1">
        <w:tc>
          <w:tcPr>
            <w:tcW w:w="1260" w:type="pct"/>
          </w:tcPr>
          <w:p w14:paraId="3370062F" w14:textId="77777777" w:rsidR="00AB57C5" w:rsidRDefault="00000000">
            <w:pPr>
              <w:pStyle w:val="Compact"/>
            </w:pPr>
            <w:r>
              <w:t>Cognitive test cutoffs</w:t>
            </w:r>
          </w:p>
        </w:tc>
        <w:tc>
          <w:tcPr>
            <w:tcW w:w="1268" w:type="pct"/>
          </w:tcPr>
          <w:p w14:paraId="6BAA0679" w14:textId="77777777" w:rsidR="00AB57C5" w:rsidRDefault="00000000">
            <w:pPr>
              <w:pStyle w:val="Compact"/>
            </w:pPr>
            <w:r>
              <w:t>CDR and other test thresholds</w:t>
            </w:r>
          </w:p>
        </w:tc>
        <w:tc>
          <w:tcPr>
            <w:tcW w:w="979" w:type="pct"/>
          </w:tcPr>
          <w:p w14:paraId="74C74225" w14:textId="77777777" w:rsidR="00AB57C5" w:rsidRDefault="00000000">
            <w:pPr>
              <w:pStyle w:val="Compact"/>
            </w:pPr>
            <w:r>
              <w:t>Peer-reviewed literature, clinical guidelines</w:t>
            </w:r>
          </w:p>
        </w:tc>
        <w:tc>
          <w:tcPr>
            <w:tcW w:w="1493" w:type="pct"/>
            <w:gridSpan w:val="2"/>
          </w:tcPr>
          <w:p w14:paraId="1B417EC1" w14:textId="77777777" w:rsidR="00AB57C5" w:rsidRDefault="00000000">
            <w:pPr>
              <w:pStyle w:val="Compact"/>
            </w:pPr>
            <w:r>
              <w:t>GRAM tracks severity of cognitive impairment based on the CDR-SB measure. The cutoffs are necessary to determine categorical severity of impairment. Default values are based on O’Bryant et al. (2008).</w:t>
            </w:r>
          </w:p>
        </w:tc>
      </w:tr>
      <w:tr w:rsidR="00AB57C5" w14:paraId="09795A0F" w14:textId="77777777" w:rsidTr="00AB37E1">
        <w:tc>
          <w:tcPr>
            <w:tcW w:w="1260" w:type="pct"/>
          </w:tcPr>
          <w:p w14:paraId="69C11E5A" w14:textId="77777777" w:rsidR="00AB57C5" w:rsidRDefault="00000000">
            <w:pPr>
              <w:pStyle w:val="Compact"/>
            </w:pPr>
            <w:r>
              <w:t>Sensitivity/specificity</w:t>
            </w:r>
          </w:p>
        </w:tc>
        <w:tc>
          <w:tcPr>
            <w:tcW w:w="1268" w:type="pct"/>
          </w:tcPr>
          <w:p w14:paraId="30B6570F" w14:textId="77777777" w:rsidR="00AB57C5" w:rsidRDefault="00000000">
            <w:pPr>
              <w:pStyle w:val="Compact"/>
            </w:pPr>
            <w:r>
              <w:t>Sensitivity/specificity of cognitive tests</w:t>
            </w:r>
          </w:p>
        </w:tc>
        <w:tc>
          <w:tcPr>
            <w:tcW w:w="979" w:type="pct"/>
          </w:tcPr>
          <w:p w14:paraId="5E36B7A9" w14:textId="77777777" w:rsidR="00AB57C5" w:rsidRDefault="00000000">
            <w:pPr>
              <w:pStyle w:val="Compact"/>
            </w:pPr>
            <w:r>
              <w:t>Peer-reviewed literature, validation studies</w:t>
            </w:r>
          </w:p>
        </w:tc>
        <w:tc>
          <w:tcPr>
            <w:tcW w:w="1493" w:type="pct"/>
            <w:gridSpan w:val="2"/>
          </w:tcPr>
          <w:p w14:paraId="7430A6BB" w14:textId="77777777" w:rsidR="00AB57C5" w:rsidRDefault="00000000">
            <w:pPr>
              <w:pStyle w:val="Compact"/>
            </w:pPr>
            <w:r>
              <w:t>Only required if simulating a cognitive testing intervention.</w:t>
            </w:r>
          </w:p>
        </w:tc>
      </w:tr>
      <w:tr w:rsidR="00AB57C5" w14:paraId="26D13305" w14:textId="77777777" w:rsidTr="00AB37E1">
        <w:tc>
          <w:tcPr>
            <w:tcW w:w="1260" w:type="pct"/>
          </w:tcPr>
          <w:p w14:paraId="0F80AA2C" w14:textId="77777777" w:rsidR="00AB57C5" w:rsidRDefault="00000000">
            <w:pPr>
              <w:pStyle w:val="Compact"/>
            </w:pPr>
            <w:r>
              <w:t>Treatment parameters</w:t>
            </w:r>
          </w:p>
        </w:tc>
        <w:tc>
          <w:tcPr>
            <w:tcW w:w="1268" w:type="pct"/>
          </w:tcPr>
          <w:p w14:paraId="560D20B7" w14:textId="77777777" w:rsidR="00AB57C5" w:rsidRDefault="00000000">
            <w:pPr>
              <w:pStyle w:val="Compact"/>
            </w:pPr>
            <w:r>
              <w:t>Efficacy, eligibility, duration, risk ratios</w:t>
            </w:r>
          </w:p>
        </w:tc>
        <w:tc>
          <w:tcPr>
            <w:tcW w:w="979" w:type="pct"/>
          </w:tcPr>
          <w:p w14:paraId="50ACF84D" w14:textId="77777777" w:rsidR="00AB57C5" w:rsidRDefault="00000000">
            <w:pPr>
              <w:pStyle w:val="Compact"/>
            </w:pPr>
            <w:r>
              <w:t>Clinical trials, meta-analyses, regulatory reports</w:t>
            </w:r>
          </w:p>
        </w:tc>
        <w:tc>
          <w:tcPr>
            <w:tcW w:w="1493" w:type="pct"/>
            <w:gridSpan w:val="2"/>
          </w:tcPr>
          <w:p w14:paraId="16BE8A6D" w14:textId="77777777" w:rsidR="00AB57C5" w:rsidRDefault="00000000">
            <w:pPr>
              <w:pStyle w:val="Compact"/>
            </w:pPr>
            <w:r>
              <w:t>Only required if simulating a treatment intervention.</w:t>
            </w:r>
          </w:p>
        </w:tc>
      </w:tr>
    </w:tbl>
    <w:p w14:paraId="429EFBDE" w14:textId="77777777" w:rsidR="00AB57C5" w:rsidRDefault="00000000">
      <w:pPr>
        <w:pStyle w:val="BodyText"/>
      </w:pPr>
      <w:r>
        <w:rPr>
          <w:b/>
          <w:bCs/>
        </w:rPr>
        <w:t>Abbreviations:</w:t>
      </w:r>
      <w:r>
        <w:t xml:space="preserve"> - NHANES: National Health and Nutrition Examination Survey - HRS: Health and Retirement Study - ADNI: Alzheimer’s Disease Neuroimaging Initiative - NACC: National Alzheimer’s Coordinating Center - CMS: Centers for Medicare &amp; Medicaid Services - CDC/NCHS: Centers for Disease Control/National Center for Health Statistics</w:t>
      </w:r>
    </w:p>
    <w:p w14:paraId="68313E33" w14:textId="63989679" w:rsidR="00AB57C5" w:rsidRDefault="00AB57C5">
      <w:pPr>
        <w:pStyle w:val="BodyText"/>
      </w:pPr>
    </w:p>
    <w:sectPr w:rsidR="00AB57C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ya, Sigal" w:date="2025-06-20T08:19:00Z" w:initials="MS">
    <w:p w14:paraId="38098BF2" w14:textId="77777777" w:rsidR="00F12A05" w:rsidRDefault="00F12A05" w:rsidP="00F12A05">
      <w:r>
        <w:rPr>
          <w:rStyle w:val="CommentReference"/>
        </w:rPr>
        <w:annotationRef/>
      </w:r>
      <w:r>
        <w:rPr>
          <w:sz w:val="20"/>
          <w:szCs w:val="20"/>
        </w:rPr>
        <w:t>It's clinic-based, but very rich data (not necessarily representative of population)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098B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42FFF7" w16cex:dateUtc="2025-06-20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098BF2" w16cid:durableId="6642FF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8D8E51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F39A23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3A53460"/>
    <w:multiLevelType w:val="hybridMultilevel"/>
    <w:tmpl w:val="9F2A9E90"/>
    <w:lvl w:ilvl="0" w:tplc="301C11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6063209">
    <w:abstractNumId w:val="0"/>
  </w:num>
  <w:num w:numId="2" w16cid:durableId="9480096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34418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ya, Sigal">
    <w15:presenceInfo w15:providerId="AD" w15:userId="S::Sigal.Maya@ucsf.edu::f657d6ed-98b1-42ba-bcf5-d4c3f3d19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B57C5"/>
    <w:rsid w:val="0008228E"/>
    <w:rsid w:val="000F33FF"/>
    <w:rsid w:val="0015301A"/>
    <w:rsid w:val="00415DB5"/>
    <w:rsid w:val="009F7EF7"/>
    <w:rsid w:val="00AB37E1"/>
    <w:rsid w:val="00AB57C5"/>
    <w:rsid w:val="00B21A94"/>
    <w:rsid w:val="00E06239"/>
    <w:rsid w:val="00F1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47DAC"/>
  <w15:docId w15:val="{D9271E49-BDDF-3948-85B2-FF08A6CF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F12A05"/>
    <w:rPr>
      <w:sz w:val="16"/>
      <w:szCs w:val="16"/>
    </w:rPr>
  </w:style>
  <w:style w:type="paragraph" w:styleId="CommentText">
    <w:name w:val="annotation text"/>
    <w:basedOn w:val="Normal"/>
    <w:link w:val="CommentTextChar"/>
    <w:rsid w:val="00F12A05"/>
    <w:rPr>
      <w:sz w:val="20"/>
      <w:szCs w:val="20"/>
    </w:rPr>
  </w:style>
  <w:style w:type="character" w:customStyle="1" w:styleId="CommentTextChar">
    <w:name w:val="Comment Text Char"/>
    <w:basedOn w:val="DefaultParagraphFont"/>
    <w:link w:val="CommentText"/>
    <w:rsid w:val="00F12A05"/>
    <w:rPr>
      <w:sz w:val="20"/>
      <w:szCs w:val="20"/>
    </w:rPr>
  </w:style>
  <w:style w:type="paragraph" w:styleId="CommentSubject">
    <w:name w:val="annotation subject"/>
    <w:basedOn w:val="CommentText"/>
    <w:next w:val="CommentText"/>
    <w:link w:val="CommentSubjectChar"/>
    <w:rsid w:val="00F12A05"/>
    <w:rPr>
      <w:b/>
      <w:bCs/>
    </w:rPr>
  </w:style>
  <w:style w:type="character" w:customStyle="1" w:styleId="CommentSubjectChar">
    <w:name w:val="Comment Subject Char"/>
    <w:basedOn w:val="CommentTextChar"/>
    <w:link w:val="CommentSubject"/>
    <w:rsid w:val="00F12A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GRAM Model: Required External Data Inputs</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 Model: Required External Data Inputs</dc:title>
  <dc:creator/>
  <cp:keywords/>
  <cp:lastModifiedBy>Maya, Sigal</cp:lastModifiedBy>
  <cp:revision>6</cp:revision>
  <dcterms:created xsi:type="dcterms:W3CDTF">2025-06-17T18:13:00Z</dcterms:created>
  <dcterms:modified xsi:type="dcterms:W3CDTF">2025-06-20T15:48:00Z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